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84" w:rsidRDefault="00DC0584" w:rsidP="00FB4852">
      <w:bookmarkStart w:id="0" w:name="_GoBack"/>
      <w:bookmarkEnd w:id="0"/>
      <w:r>
        <w:t xml:space="preserve">Description of </w:t>
      </w:r>
      <w:r w:rsidRPr="004D79C6">
        <w:rPr>
          <w:b/>
        </w:rPr>
        <w:t>basic principles</w:t>
      </w:r>
      <w:r>
        <w:t xml:space="preserve"> for </w:t>
      </w:r>
      <w:r w:rsidR="00180535">
        <w:t xml:space="preserve">SMDG </w:t>
      </w:r>
      <w:r>
        <w:t xml:space="preserve">Webservice usage and </w:t>
      </w:r>
      <w:r w:rsidR="00451F23">
        <w:br/>
      </w:r>
      <w:r>
        <w:t>implementation / design guideline</w:t>
      </w:r>
      <w:r w:rsidR="00CA0F39">
        <w:t>.</w:t>
      </w:r>
      <w:r w:rsidR="004D79C6">
        <w:br/>
      </w:r>
      <w:r w:rsidR="00CA0F39">
        <w:t xml:space="preserve">This includes a recommendation of how to handle </w:t>
      </w:r>
      <w:r w:rsidR="00CA0F39" w:rsidRPr="004D79C6">
        <w:rPr>
          <w:b/>
        </w:rPr>
        <w:t>security and authentication.</w:t>
      </w:r>
      <w:r w:rsidR="00CA0F39" w:rsidRPr="004D79C6">
        <w:rPr>
          <w:b/>
        </w:rPr>
        <w:br/>
      </w:r>
      <w:r w:rsidR="00341CF0" w:rsidRPr="00341CF0">
        <w:rPr>
          <w:i/>
        </w:rPr>
        <w:sym w:font="Wingdings" w:char="F0E8"/>
      </w:r>
      <w:r w:rsidR="00341CF0">
        <w:rPr>
          <w:i/>
        </w:rPr>
        <w:t xml:space="preserve"> </w:t>
      </w:r>
      <w:r w:rsidR="00CA0F39" w:rsidRPr="004D79C6">
        <w:rPr>
          <w:i/>
        </w:rPr>
        <w:t>Action on first draft: Peter, Daniel and Olaf</w:t>
      </w:r>
      <w:r w:rsidR="004D79C6">
        <w:br/>
      </w:r>
    </w:p>
    <w:p w:rsidR="00FB4852" w:rsidRDefault="00FB4852" w:rsidP="00FB4852">
      <w:pPr>
        <w:jc w:val="both"/>
      </w:pPr>
    </w:p>
    <w:p w:rsidR="00FB4852" w:rsidRDefault="00FB4852" w:rsidP="00FB4852">
      <w:pPr>
        <w:jc w:val="both"/>
      </w:pPr>
    </w:p>
    <w:p w:rsidR="00FB4852" w:rsidRPr="00FB4852" w:rsidRDefault="00FB4852" w:rsidP="00FB4852">
      <w:pPr>
        <w:jc w:val="both"/>
        <w:rPr>
          <w:b/>
        </w:rPr>
      </w:pPr>
      <w:r w:rsidRPr="00FB4852">
        <w:rPr>
          <w:b/>
        </w:rPr>
        <w:t>Why is API design essential?</w:t>
      </w:r>
    </w:p>
    <w:p w:rsidR="00FB4852" w:rsidRDefault="00FB4852" w:rsidP="00FB4852">
      <w:pPr>
        <w:jc w:val="both"/>
      </w:pPr>
      <w:r>
        <w:t>While currently this is just a working group to find ideas for common web services there will be a</w:t>
      </w:r>
    </w:p>
    <w:p w:rsidR="00FB4852" w:rsidRDefault="00FB4852" w:rsidP="00FB4852">
      <w:pPr>
        <w:jc w:val="both"/>
      </w:pPr>
    </w:p>
    <w:p w:rsidR="00FB4852" w:rsidRDefault="00FB4852" w:rsidP="00FB4852">
      <w:pPr>
        <w:jc w:val="both"/>
      </w:pPr>
      <w:r>
        <w:t xml:space="preserve">Following the trend on the Internet, electronic communications will continue to evolve from </w:t>
      </w:r>
      <w:proofErr w:type="gramStart"/>
      <w:r>
        <w:t>known</w:t>
      </w:r>
      <w:proofErr w:type="gramEnd"/>
      <w:r>
        <w:t xml:space="preserve"> and currently used EDI protocols to web services. These </w:t>
      </w:r>
      <w:r w:rsidR="000F6D3F">
        <w:t>APIs will continue to spread and as there are many formats for various EDI use cases today, there will also be countless APIs one day to solve similar problems.</w:t>
      </w:r>
    </w:p>
    <w:p w:rsidR="000F6D3F" w:rsidRDefault="000F6D3F" w:rsidP="00FB4852">
      <w:pPr>
        <w:jc w:val="both"/>
      </w:pPr>
      <w:r>
        <w:t>A uniform interface design will therefore ensure the software can be reused. At the same time, the simpler an interface is, the more clients will use it. The fewer hurdles an API has, the easier it is to use and the more likely it will become accepted.</w:t>
      </w:r>
    </w:p>
    <w:p w:rsidR="00FB4852" w:rsidRPr="00FF4EE9" w:rsidRDefault="00FB4852" w:rsidP="00FB4852">
      <w:pPr>
        <w:jc w:val="both"/>
      </w:pPr>
    </w:p>
    <w:p w:rsidR="000F6D3F" w:rsidRDefault="000F6D3F" w:rsidP="00FB4852">
      <w:pPr>
        <w:jc w:val="both"/>
      </w:pPr>
      <w:r w:rsidRPr="000F6D3F">
        <w:t xml:space="preserve">It therefore makes sense to use a uniform guideline right at the beginning </w:t>
      </w:r>
      <w:r>
        <w:t>of t</w:t>
      </w:r>
      <w:r w:rsidRPr="000F6D3F">
        <w:t xml:space="preserve">he interface design. </w:t>
      </w:r>
      <w:r>
        <w:t>The parameters SHOULD be implemented by all web services to make it easier for developers to consume the API.</w:t>
      </w:r>
    </w:p>
    <w:p w:rsidR="000F6D3F" w:rsidRDefault="000F6D3F" w:rsidP="00FB4852">
      <w:pPr>
        <w:jc w:val="both"/>
      </w:pPr>
    </w:p>
    <w:p w:rsidR="000F6D3F" w:rsidRDefault="000F6D3F" w:rsidP="00FB4852">
      <w:pPr>
        <w:jc w:val="both"/>
      </w:pPr>
    </w:p>
    <w:p w:rsidR="00A163FA" w:rsidRPr="00A163FA" w:rsidRDefault="00A163FA" w:rsidP="00FB4852">
      <w:pPr>
        <w:jc w:val="both"/>
        <w:rPr>
          <w:b/>
        </w:rPr>
      </w:pPr>
      <w:r w:rsidRPr="00A163FA">
        <w:rPr>
          <w:b/>
        </w:rPr>
        <w:t>Changes in API design</w:t>
      </w:r>
    </w:p>
    <w:p w:rsidR="00A163FA" w:rsidRDefault="00A163FA" w:rsidP="00FB4852">
      <w:pPr>
        <w:jc w:val="both"/>
      </w:pPr>
      <w:r>
        <w:t>You can differentiate between breaking and non-breaking changes. Non-breaking changes allow further use of the API without customization of the client software. Breaking changes, however, require a change in the consuming software.</w:t>
      </w:r>
    </w:p>
    <w:p w:rsidR="00A163FA" w:rsidRDefault="00A163FA" w:rsidP="00FB4852">
      <w:pPr>
        <w:jc w:val="both"/>
      </w:pPr>
    </w:p>
    <w:p w:rsidR="00A163FA" w:rsidRDefault="00A163FA" w:rsidP="00FB4852">
      <w:pPr>
        <w:jc w:val="both"/>
      </w:pPr>
      <w:r>
        <w:t>Once an interface has been defined, deviating from it is no longer allowed – not even non-breaking.</w:t>
      </w:r>
    </w:p>
    <w:p w:rsidR="00A163FA" w:rsidRDefault="00A163FA" w:rsidP="00FB4852">
      <w:pPr>
        <w:jc w:val="both"/>
      </w:pPr>
      <w:r>
        <w:t>Deviation from an established interface would lead to a drifting apart of the different implementations, which in turn would lead to many different but similar services in the long run. These services would be incompatible at some point. Any deviation from any of the interface descriptions would automatically generate a new API service of a new API version.</w:t>
      </w:r>
    </w:p>
    <w:p w:rsidR="00A163FA" w:rsidRDefault="00A163FA" w:rsidP="00FB4852">
      <w:pPr>
        <w:jc w:val="both"/>
      </w:pPr>
    </w:p>
    <w:p w:rsidR="00A163FA" w:rsidRDefault="00A163FA" w:rsidP="00FB4852">
      <w:pPr>
        <w:jc w:val="both"/>
      </w:pPr>
      <w:r>
        <w:t>If the still to be established API guideline has weaknesses, the guideline must be amended. Services or service versions that already exist and have therefore been created with older versions of the guideline will not be customized. A once specified interface will not be adapted later.</w:t>
      </w:r>
    </w:p>
    <w:p w:rsidR="00A163FA" w:rsidRDefault="00A163FA" w:rsidP="00FB4852">
      <w:pPr>
        <w:jc w:val="both"/>
      </w:pPr>
    </w:p>
    <w:p w:rsidR="00A163FA" w:rsidRDefault="00A163FA" w:rsidP="00FB4852">
      <w:pPr>
        <w:jc w:val="both"/>
      </w:pPr>
    </w:p>
    <w:p w:rsidR="00A163FA" w:rsidRPr="00A163FA" w:rsidRDefault="00A163FA" w:rsidP="00FB4852">
      <w:pPr>
        <w:jc w:val="both"/>
        <w:rPr>
          <w:b/>
        </w:rPr>
      </w:pPr>
      <w:r w:rsidRPr="00A163FA">
        <w:rPr>
          <w:b/>
        </w:rPr>
        <w:t>Resources and Security</w:t>
      </w:r>
    </w:p>
    <w:p w:rsidR="00A163FA" w:rsidRDefault="00A163FA" w:rsidP="00A163FA">
      <w:pPr>
        <w:jc w:val="both"/>
      </w:pPr>
      <w:r>
        <w:t>While some parts of an API can be described very accurately, others in any implementation are freely designable. Client software must be able to adapt to the particular circumstances of an implementation.</w:t>
      </w:r>
    </w:p>
    <w:p w:rsidR="00A163FA" w:rsidRDefault="00A163FA" w:rsidP="00A163FA">
      <w:pPr>
        <w:jc w:val="both"/>
      </w:pPr>
      <w:r>
        <w:t>These free-form parts include</w:t>
      </w:r>
    </w:p>
    <w:p w:rsidR="00A163FA" w:rsidRDefault="00A163FA" w:rsidP="00A163FA">
      <w:pPr>
        <w:pStyle w:val="ListParagraph"/>
        <w:numPr>
          <w:ilvl w:val="0"/>
          <w:numId w:val="5"/>
        </w:numPr>
        <w:jc w:val="both"/>
      </w:pPr>
      <w:r>
        <w:t>Resource base paths</w:t>
      </w:r>
    </w:p>
    <w:p w:rsidR="00A163FA" w:rsidRDefault="00A163FA" w:rsidP="00A163FA">
      <w:pPr>
        <w:pStyle w:val="ListParagraph"/>
        <w:numPr>
          <w:ilvl w:val="0"/>
          <w:numId w:val="5"/>
        </w:numPr>
        <w:jc w:val="both"/>
      </w:pPr>
      <w:r>
        <w:t>Security</w:t>
      </w:r>
    </w:p>
    <w:p w:rsidR="00A163FA" w:rsidRDefault="00A163FA" w:rsidP="00A163FA">
      <w:pPr>
        <w:jc w:val="both"/>
      </w:pPr>
    </w:p>
    <w:p w:rsidR="00A163FA" w:rsidRDefault="00A163FA" w:rsidP="00A163FA">
      <w:pPr>
        <w:jc w:val="both"/>
      </w:pPr>
      <w:r>
        <w:t xml:space="preserve">Each API provider can specify an arbitrary </w:t>
      </w:r>
      <w:r w:rsidRPr="00A163FA">
        <w:rPr>
          <w:i/>
        </w:rPr>
        <w:t>base path</w:t>
      </w:r>
      <w:r>
        <w:t xml:space="preserve"> for an API. In the Swagger / OpenAPI standard, the field "</w:t>
      </w:r>
      <w:proofErr w:type="spellStart"/>
      <w:r>
        <w:t>basepath</w:t>
      </w:r>
      <w:proofErr w:type="spellEnd"/>
      <w:r>
        <w:t>" is intended for this purpose. The assignment of this field is not specified</w:t>
      </w:r>
      <w:r w:rsidR="00DA5475">
        <w:t xml:space="preserve"> within this guideline</w:t>
      </w:r>
      <w:r>
        <w:t xml:space="preserve">. Each API implementation can set the value freely. Only the </w:t>
      </w:r>
      <w:r>
        <w:lastRenderedPageBreak/>
        <w:t>"paths" defined in the Swagger / OpenAPI are fixed and must not be changed by an implementation.</w:t>
      </w:r>
    </w:p>
    <w:p w:rsidR="00A163FA" w:rsidRDefault="00A163FA" w:rsidP="00A163FA">
      <w:pPr>
        <w:jc w:val="both"/>
      </w:pPr>
      <w:r>
        <w:t>A client for a particular API must be able to use any "</w:t>
      </w:r>
      <w:proofErr w:type="spellStart"/>
      <w:r>
        <w:t>basepath</w:t>
      </w:r>
      <w:proofErr w:type="spellEnd"/>
      <w:r>
        <w:t>".</w:t>
      </w:r>
    </w:p>
    <w:p w:rsidR="00A163FA" w:rsidRDefault="00A163FA" w:rsidP="00A163FA">
      <w:pPr>
        <w:jc w:val="both"/>
      </w:pPr>
    </w:p>
    <w:p w:rsidR="00A163FA" w:rsidRDefault="00A163FA" w:rsidP="00A163FA">
      <w:pPr>
        <w:jc w:val="both"/>
      </w:pPr>
      <w:r>
        <w:t xml:space="preserve">Security </w:t>
      </w:r>
      <w:r w:rsidR="00DA5475">
        <w:t>cannot</w:t>
      </w:r>
      <w:r>
        <w:t xml:space="preserve"> be set generically. Different companies may have different policies and views in this area. </w:t>
      </w:r>
      <w:r w:rsidR="00DA5475">
        <w:t xml:space="preserve">At the same time every use case is different and has to be considered separately. </w:t>
      </w:r>
      <w:r>
        <w:t>An API interface specification will therefore not include security policies. Each API implementation will therefore apply its own guidelines - as part of the Swagger / OpenAPI specification.</w:t>
      </w:r>
    </w:p>
    <w:p w:rsidR="00A163FA" w:rsidRDefault="00A163FA" w:rsidP="00A163FA">
      <w:pPr>
        <w:jc w:val="both"/>
      </w:pPr>
      <w:r>
        <w:t>An API client must therefore be able to use any Swagger / OpenAPI-specified security settings.</w:t>
      </w:r>
    </w:p>
    <w:p w:rsidR="00A163FA" w:rsidRPr="00DA5475" w:rsidRDefault="00A163FA" w:rsidP="00A163FA">
      <w:pPr>
        <w:jc w:val="both"/>
        <w:rPr>
          <w:i/>
        </w:rPr>
      </w:pPr>
      <w:r w:rsidRPr="00DA5475">
        <w:rPr>
          <w:i/>
        </w:rPr>
        <w:t>Note: Swagger / OpenAPI 2 defines exactly three ways to protect an API:</w:t>
      </w:r>
    </w:p>
    <w:p w:rsidR="00A163FA" w:rsidRPr="00DA5475" w:rsidRDefault="00A163FA" w:rsidP="00A163FA">
      <w:pPr>
        <w:jc w:val="both"/>
        <w:rPr>
          <w:i/>
        </w:rPr>
      </w:pPr>
      <w:r w:rsidRPr="00DA5475">
        <w:rPr>
          <w:i/>
        </w:rPr>
        <w:t xml:space="preserve">- Basic </w:t>
      </w:r>
      <w:proofErr w:type="spellStart"/>
      <w:r w:rsidRPr="00DA5475">
        <w:rPr>
          <w:i/>
        </w:rPr>
        <w:t>Auth</w:t>
      </w:r>
      <w:proofErr w:type="spellEnd"/>
    </w:p>
    <w:p w:rsidR="00A163FA" w:rsidRPr="00DA5475" w:rsidRDefault="00A163FA" w:rsidP="00A163FA">
      <w:pPr>
        <w:jc w:val="both"/>
        <w:rPr>
          <w:i/>
        </w:rPr>
      </w:pPr>
      <w:r w:rsidRPr="00DA5475">
        <w:rPr>
          <w:i/>
        </w:rPr>
        <w:t>- API key</w:t>
      </w:r>
    </w:p>
    <w:p w:rsidR="00A163FA" w:rsidRPr="00DA5475" w:rsidRDefault="00A163FA" w:rsidP="00A163FA">
      <w:pPr>
        <w:jc w:val="both"/>
        <w:rPr>
          <w:i/>
        </w:rPr>
      </w:pPr>
      <w:r w:rsidRPr="00DA5475">
        <w:rPr>
          <w:i/>
        </w:rPr>
        <w:t>- OAuth2</w:t>
      </w:r>
    </w:p>
    <w:p w:rsidR="00A163FA" w:rsidRPr="00DA5475" w:rsidRDefault="00A163FA" w:rsidP="00A163FA">
      <w:pPr>
        <w:jc w:val="both"/>
        <w:rPr>
          <w:i/>
        </w:rPr>
      </w:pPr>
      <w:r w:rsidRPr="00DA5475">
        <w:rPr>
          <w:i/>
        </w:rPr>
        <w:t>These options (and combinations thereof) must be supported by every client.</w:t>
      </w:r>
    </w:p>
    <w:p w:rsidR="00A163FA" w:rsidRDefault="00A163FA" w:rsidP="00FB4852">
      <w:pPr>
        <w:jc w:val="both"/>
      </w:pPr>
    </w:p>
    <w:p w:rsidR="00DA5475" w:rsidRDefault="00DA5475" w:rsidP="00FB4852">
      <w:pPr>
        <w:jc w:val="both"/>
      </w:pPr>
    </w:p>
    <w:p w:rsidR="00DA5475" w:rsidRDefault="00DA5475" w:rsidP="00FB4852">
      <w:pPr>
        <w:jc w:val="both"/>
        <w:rPr>
          <w:b/>
        </w:rPr>
      </w:pPr>
      <w:r w:rsidRPr="00DA5475">
        <w:rPr>
          <w:b/>
        </w:rPr>
        <w:t>URL patterns</w:t>
      </w:r>
    </w:p>
    <w:p w:rsidR="00DA5475" w:rsidRPr="00DA5475" w:rsidRDefault="00DA5475" w:rsidP="00FB4852">
      <w:pPr>
        <w:jc w:val="both"/>
      </w:pPr>
      <w:r>
        <w:t>A URL pattern MUST look like this:</w:t>
      </w:r>
    </w:p>
    <w:p w:rsidR="00DA5475" w:rsidRPr="00A163FA" w:rsidRDefault="00DA5475" w:rsidP="00FB4852">
      <w:pPr>
        <w:jc w:val="both"/>
      </w:pPr>
      <w:proofErr w:type="gramStart"/>
      <w:r w:rsidRPr="00DA5475">
        <w:rPr>
          <w:rFonts w:ascii="Consolas" w:hAnsi="Consolas"/>
        </w:rPr>
        <w:t>https:</w:t>
      </w:r>
      <w:proofErr w:type="gramEnd"/>
      <w:r w:rsidRPr="00DA5475">
        <w:rPr>
          <w:rFonts w:ascii="Consolas" w:hAnsi="Consolas"/>
        </w:rPr>
        <w:t>//{host}:{port}/{</w:t>
      </w:r>
      <w:r>
        <w:rPr>
          <w:rFonts w:ascii="Consolas" w:hAnsi="Consolas"/>
        </w:rPr>
        <w:t>base-path</w:t>
      </w:r>
      <w:r w:rsidRPr="00DA5475">
        <w:rPr>
          <w:rFonts w:ascii="Consolas" w:hAnsi="Consolas"/>
        </w:rPr>
        <w:t>}/v{version-number}/{list-resource}/{primary-resource}/{sub-resource}</w:t>
      </w:r>
    </w:p>
    <w:p w:rsidR="00DA5475" w:rsidRPr="00DA5475" w:rsidRDefault="00DA5475" w:rsidP="00DA5475">
      <w:pPr>
        <w:numPr>
          <w:ilvl w:val="0"/>
          <w:numId w:val="6"/>
        </w:numPr>
        <w:spacing w:before="100" w:beforeAutospacing="1" w:after="100" w:afterAutospacing="1"/>
      </w:pPr>
      <w:r w:rsidRPr="00DA5475">
        <w:rPr>
          <w:rFonts w:ascii="Consolas" w:hAnsi="Consolas"/>
        </w:rPr>
        <w:t>{</w:t>
      </w:r>
      <w:r>
        <w:rPr>
          <w:rFonts w:ascii="Consolas" w:hAnsi="Consolas"/>
        </w:rPr>
        <w:t>base-path</w:t>
      </w:r>
      <w:r w:rsidRPr="00DA5475">
        <w:rPr>
          <w:rFonts w:ascii="Consolas" w:hAnsi="Consolas"/>
        </w:rPr>
        <w:t>}</w:t>
      </w:r>
      <w:r w:rsidRPr="00DA5475">
        <w:t xml:space="preserve"> will be automatically created within your project. All corresponding API will use the same context-root.</w:t>
      </w:r>
      <w:r>
        <w:t xml:space="preserve"> This part can be set freely by every implementation.</w:t>
      </w:r>
    </w:p>
    <w:p w:rsidR="00DA5475" w:rsidRPr="00DA5475" w:rsidRDefault="00DA5475" w:rsidP="00DA5475">
      <w:pPr>
        <w:numPr>
          <w:ilvl w:val="0"/>
          <w:numId w:val="6"/>
        </w:numPr>
        <w:spacing w:before="100" w:beforeAutospacing="1" w:after="100" w:afterAutospacing="1"/>
      </w:pPr>
      <w:r w:rsidRPr="00DA5475">
        <w:rPr>
          <w:rFonts w:ascii="Consolas" w:hAnsi="Consolas"/>
        </w:rPr>
        <w:t>{version-number}</w:t>
      </w:r>
      <w:r w:rsidRPr="00DA5475">
        <w:t xml:space="preserve"> is a simple number that is increased every time you implementing a breaking change in your API</w:t>
      </w:r>
    </w:p>
    <w:p w:rsidR="00DA5475" w:rsidRPr="00DA5475" w:rsidRDefault="00DA5475" w:rsidP="00DA5475">
      <w:pPr>
        <w:numPr>
          <w:ilvl w:val="0"/>
          <w:numId w:val="6"/>
        </w:numPr>
        <w:spacing w:before="100" w:beforeAutospacing="1" w:after="100" w:afterAutospacing="1"/>
      </w:pPr>
      <w:r w:rsidRPr="00DA5475">
        <w:rPr>
          <w:rFonts w:ascii="Consolas" w:hAnsi="Consolas"/>
        </w:rPr>
        <w:t>{list-resource}</w:t>
      </w:r>
      <w:r w:rsidRPr="00DA5475">
        <w:t xml:space="preserve"> MUST be a noun in plural. It allows access to a whole set of resources.</w:t>
      </w:r>
    </w:p>
    <w:p w:rsidR="00DA5475" w:rsidRPr="00DA5475" w:rsidRDefault="00DA5475" w:rsidP="00DA5475">
      <w:pPr>
        <w:numPr>
          <w:ilvl w:val="0"/>
          <w:numId w:val="6"/>
        </w:numPr>
        <w:spacing w:before="100" w:beforeAutospacing="1" w:after="100" w:afterAutospacing="1"/>
      </w:pPr>
      <w:r w:rsidRPr="00DA5475">
        <w:rPr>
          <w:rFonts w:ascii="Consolas" w:hAnsi="Consolas"/>
        </w:rPr>
        <w:t>{primary-resource}</w:t>
      </w:r>
      <w:r w:rsidRPr="00DA5475">
        <w:t xml:space="preserve"> is an ID pointing to one specific resource. Do NOT use implementation details as public IDs (e.g. the database sequence).</w:t>
      </w:r>
    </w:p>
    <w:p w:rsidR="00DA5475" w:rsidRPr="00DA5475" w:rsidRDefault="00DA5475" w:rsidP="00DA5475">
      <w:pPr>
        <w:numPr>
          <w:ilvl w:val="0"/>
          <w:numId w:val="6"/>
        </w:numPr>
        <w:spacing w:before="100" w:beforeAutospacing="1" w:after="100" w:afterAutospacing="1"/>
      </w:pPr>
      <w:r w:rsidRPr="00DA5475">
        <w:rPr>
          <w:rFonts w:ascii="Consolas" w:hAnsi="Consolas"/>
        </w:rPr>
        <w:t>{sub-resource}</w:t>
      </w:r>
      <w:r w:rsidRPr="00DA5475">
        <w:t xml:space="preserve"> is a resource that has a life cycle that is bound to its primary-resource</w:t>
      </w:r>
    </w:p>
    <w:p w:rsidR="00DA5475" w:rsidRPr="00DA5475" w:rsidRDefault="00DA5475" w:rsidP="00DA5475">
      <w:pPr>
        <w:numPr>
          <w:ilvl w:val="0"/>
          <w:numId w:val="6"/>
        </w:numPr>
        <w:spacing w:before="100" w:beforeAutospacing="1" w:after="100" w:afterAutospacing="1"/>
      </w:pPr>
      <w:proofErr w:type="gramStart"/>
      <w:r w:rsidRPr="00DA5475">
        <w:t>query-parameters</w:t>
      </w:r>
      <w:proofErr w:type="gramEnd"/>
      <w:r w:rsidRPr="00DA5475">
        <w:t xml:space="preserve"> can be used to filter or sort resources.</w:t>
      </w:r>
    </w:p>
    <w:p w:rsidR="00DA5475" w:rsidRPr="00DA5475" w:rsidRDefault="00DA5475" w:rsidP="00DA5475">
      <w:pPr>
        <w:spacing w:before="100" w:beforeAutospacing="1" w:after="100" w:afterAutospacing="1"/>
      </w:pPr>
      <w:r w:rsidRPr="00DA5475">
        <w:t>You MUST NOT use verbs or other method names in a URL.</w:t>
      </w:r>
    </w:p>
    <w:p w:rsidR="00DA5475" w:rsidRDefault="00DA5475" w:rsidP="00FB4852">
      <w:pPr>
        <w:jc w:val="both"/>
      </w:pPr>
    </w:p>
    <w:p w:rsidR="00DA5475" w:rsidRPr="00DA5475" w:rsidRDefault="00DA5475" w:rsidP="00FB4852">
      <w:pPr>
        <w:jc w:val="both"/>
        <w:rPr>
          <w:b/>
        </w:rPr>
      </w:pPr>
      <w:r w:rsidRPr="00DA5475">
        <w:rPr>
          <w:b/>
        </w:rPr>
        <w:t>Naming</w:t>
      </w:r>
    </w:p>
    <w:p w:rsidR="00DA5475" w:rsidRPr="00DA5475" w:rsidRDefault="00DA5475" w:rsidP="00DA5475">
      <w:pPr>
        <w:jc w:val="both"/>
      </w:pPr>
      <w:r w:rsidRPr="00DA5475">
        <w:t xml:space="preserve">API names MUST be written in English. </w:t>
      </w:r>
    </w:p>
    <w:p w:rsidR="00DA5475" w:rsidRPr="00DA5475" w:rsidRDefault="00DA5475" w:rsidP="00DA5475">
      <w:pPr>
        <w:jc w:val="both"/>
      </w:pPr>
      <w:r w:rsidRPr="00DA5475">
        <w:t>The different parts of the API MUST use lowercase and follow the naming conventions: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7"/>
        <w:gridCol w:w="1275"/>
        <w:gridCol w:w="2268"/>
        <w:gridCol w:w="3357"/>
      </w:tblGrid>
      <w:tr w:rsidR="00DA5475" w:rsidRPr="00DA5475" w:rsidTr="00DA5475">
        <w:trPr>
          <w:tblCellSpacing w:w="15" w:type="dxa"/>
        </w:trPr>
        <w:tc>
          <w:tcPr>
            <w:tcW w:w="2082" w:type="dxa"/>
            <w:vAlign w:val="center"/>
            <w:hideMark/>
          </w:tcPr>
          <w:p w:rsidR="00DA5475" w:rsidRPr="00DA5475" w:rsidRDefault="00DA5475" w:rsidP="00DA5475">
            <w:pPr>
              <w:jc w:val="both"/>
            </w:pPr>
            <w:r w:rsidRPr="00DA5475">
              <w:t>URLs/ Resources</w:t>
            </w:r>
          </w:p>
        </w:tc>
        <w:tc>
          <w:tcPr>
            <w:tcW w:w="1245" w:type="dxa"/>
            <w:vAlign w:val="center"/>
            <w:hideMark/>
          </w:tcPr>
          <w:p w:rsidR="00DA5475" w:rsidRPr="00DA5475" w:rsidRDefault="00DA5475" w:rsidP="00DA5475">
            <w:pPr>
              <w:jc w:val="both"/>
            </w:pPr>
            <w:r w:rsidRPr="00DA5475">
              <w:t>Kebab case</w:t>
            </w:r>
          </w:p>
        </w:tc>
        <w:tc>
          <w:tcPr>
            <w:tcW w:w="2238" w:type="dxa"/>
            <w:vAlign w:val="center"/>
            <w:hideMark/>
          </w:tcPr>
          <w:p w:rsidR="00DA5475" w:rsidRPr="00DA5475" w:rsidRDefault="00DA5475" w:rsidP="00DA5475">
            <w:pPr>
              <w:jc w:val="both"/>
              <w:rPr>
                <w:rFonts w:ascii="Consolas" w:hAnsi="Consolas" w:cs="Consolas"/>
              </w:rPr>
            </w:pPr>
            <w:r w:rsidRPr="00DA5475">
              <w:rPr>
                <w:rFonts w:ascii="Consolas" w:hAnsi="Consolas" w:cs="Consolas"/>
              </w:rPr>
              <w:t>/delivery-orders/</w:t>
            </w:r>
          </w:p>
        </w:tc>
        <w:tc>
          <w:tcPr>
            <w:tcW w:w="3312" w:type="dxa"/>
            <w:vAlign w:val="center"/>
            <w:hideMark/>
          </w:tcPr>
          <w:p w:rsidR="00DA5475" w:rsidRPr="00DA5475" w:rsidRDefault="00DA5475" w:rsidP="00DA5475">
            <w:pPr>
              <w:jc w:val="both"/>
            </w:pPr>
            <w:r w:rsidRPr="00DA5475">
              <w:t>Compound words MUST be separated with hyphens</w:t>
            </w:r>
          </w:p>
        </w:tc>
      </w:tr>
      <w:tr w:rsidR="00DA5475" w:rsidRPr="00DA5475" w:rsidTr="00DA5475">
        <w:trPr>
          <w:tblCellSpacing w:w="15" w:type="dxa"/>
        </w:trPr>
        <w:tc>
          <w:tcPr>
            <w:tcW w:w="2082" w:type="dxa"/>
            <w:vAlign w:val="center"/>
            <w:hideMark/>
          </w:tcPr>
          <w:p w:rsidR="00DA5475" w:rsidRPr="00DA5475" w:rsidRDefault="00DA5475" w:rsidP="00DA5475">
            <w:pPr>
              <w:jc w:val="both"/>
            </w:pPr>
            <w:r w:rsidRPr="00DA5475">
              <w:t>Query parameter</w:t>
            </w:r>
          </w:p>
        </w:tc>
        <w:tc>
          <w:tcPr>
            <w:tcW w:w="1245" w:type="dxa"/>
            <w:vAlign w:val="center"/>
            <w:hideMark/>
          </w:tcPr>
          <w:p w:rsidR="00DA5475" w:rsidRPr="00DA5475" w:rsidRDefault="00DA5475" w:rsidP="00DA5475">
            <w:pPr>
              <w:jc w:val="both"/>
            </w:pPr>
            <w:r w:rsidRPr="00DA5475">
              <w:t>Snake case</w:t>
            </w:r>
          </w:p>
        </w:tc>
        <w:tc>
          <w:tcPr>
            <w:tcW w:w="2238" w:type="dxa"/>
            <w:vAlign w:val="center"/>
            <w:hideMark/>
          </w:tcPr>
          <w:p w:rsidR="00DA5475" w:rsidRPr="00DA5475" w:rsidRDefault="00DA5475" w:rsidP="00DA5475">
            <w:pPr>
              <w:jc w:val="both"/>
              <w:rPr>
                <w:rFonts w:ascii="Consolas" w:hAnsi="Consolas" w:cs="Consolas"/>
              </w:rPr>
            </w:pPr>
            <w:r w:rsidRPr="00DA5475">
              <w:rPr>
                <w:rFonts w:ascii="Consolas" w:hAnsi="Consolas" w:cs="Consolas"/>
              </w:rPr>
              <w:t>?</w:t>
            </w:r>
            <w:proofErr w:type="spellStart"/>
            <w:r w:rsidRPr="00DA5475">
              <w:rPr>
                <w:rFonts w:ascii="Consolas" w:hAnsi="Consolas" w:cs="Consolas"/>
              </w:rPr>
              <w:t>order_id</w:t>
            </w:r>
            <w:proofErr w:type="spellEnd"/>
            <w:r w:rsidRPr="00DA5475">
              <w:rPr>
                <w:rFonts w:ascii="Consolas" w:hAnsi="Consolas" w:cs="Consolas"/>
              </w:rPr>
              <w:t>=foo</w:t>
            </w:r>
          </w:p>
        </w:tc>
        <w:tc>
          <w:tcPr>
            <w:tcW w:w="3312" w:type="dxa"/>
            <w:vAlign w:val="center"/>
            <w:hideMark/>
          </w:tcPr>
          <w:p w:rsidR="00DA5475" w:rsidRPr="00DA5475" w:rsidRDefault="00DA5475" w:rsidP="00DA5475">
            <w:pPr>
              <w:jc w:val="both"/>
            </w:pPr>
            <w:r w:rsidRPr="00DA5475">
              <w:t>Compound words MUST be separated with underscores</w:t>
            </w:r>
          </w:p>
        </w:tc>
      </w:tr>
      <w:tr w:rsidR="00DA5475" w:rsidRPr="00DA5475" w:rsidTr="00DA5475">
        <w:trPr>
          <w:tblCellSpacing w:w="15" w:type="dxa"/>
        </w:trPr>
        <w:tc>
          <w:tcPr>
            <w:tcW w:w="2082" w:type="dxa"/>
            <w:vAlign w:val="center"/>
            <w:hideMark/>
          </w:tcPr>
          <w:p w:rsidR="00DA5475" w:rsidRPr="00DA5475" w:rsidRDefault="00DA5475" w:rsidP="00DA5475">
            <w:pPr>
              <w:jc w:val="both"/>
            </w:pPr>
            <w:r w:rsidRPr="00DA5475">
              <w:t>Properties (in JSON)</w:t>
            </w:r>
          </w:p>
        </w:tc>
        <w:tc>
          <w:tcPr>
            <w:tcW w:w="1245" w:type="dxa"/>
            <w:vAlign w:val="center"/>
            <w:hideMark/>
          </w:tcPr>
          <w:p w:rsidR="00DA5475" w:rsidRPr="00DA5475" w:rsidRDefault="00DA5475" w:rsidP="00DA5475">
            <w:pPr>
              <w:jc w:val="both"/>
            </w:pPr>
            <w:r w:rsidRPr="00DA5475">
              <w:t>Snake case</w:t>
            </w:r>
          </w:p>
        </w:tc>
        <w:tc>
          <w:tcPr>
            <w:tcW w:w="2238" w:type="dxa"/>
            <w:vAlign w:val="center"/>
            <w:hideMark/>
          </w:tcPr>
          <w:p w:rsidR="00DA5475" w:rsidRPr="00DA5475" w:rsidRDefault="00DA5475" w:rsidP="00DA5475">
            <w:pPr>
              <w:jc w:val="both"/>
              <w:rPr>
                <w:rFonts w:ascii="Consolas" w:hAnsi="Consolas" w:cs="Consolas"/>
              </w:rPr>
            </w:pPr>
            <w:proofErr w:type="spellStart"/>
            <w:r w:rsidRPr="00DA5475">
              <w:rPr>
                <w:rFonts w:ascii="Consolas" w:hAnsi="Consolas" w:cs="Consolas"/>
              </w:rPr>
              <w:t>zip_code</w:t>
            </w:r>
            <w:proofErr w:type="spellEnd"/>
          </w:p>
        </w:tc>
        <w:tc>
          <w:tcPr>
            <w:tcW w:w="3312" w:type="dxa"/>
            <w:vAlign w:val="center"/>
            <w:hideMark/>
          </w:tcPr>
          <w:p w:rsidR="00DA5475" w:rsidRPr="00DA5475" w:rsidRDefault="00DA5475" w:rsidP="00DA5475">
            <w:pPr>
              <w:jc w:val="both"/>
            </w:pPr>
            <w:r w:rsidRPr="00DA5475">
              <w:t>Compound words MUST be separated with underscores</w:t>
            </w:r>
          </w:p>
        </w:tc>
      </w:tr>
    </w:tbl>
    <w:p w:rsidR="00DA5475" w:rsidRDefault="00DA5475" w:rsidP="00FB4852">
      <w:pPr>
        <w:jc w:val="both"/>
      </w:pPr>
    </w:p>
    <w:p w:rsidR="00DA5475" w:rsidRDefault="00DA5475" w:rsidP="00FB4852">
      <w:pPr>
        <w:jc w:val="both"/>
      </w:pPr>
    </w:p>
    <w:p w:rsidR="00DA5475" w:rsidRDefault="00DA5475" w:rsidP="00FB4852">
      <w:pPr>
        <w:jc w:val="both"/>
      </w:pPr>
    </w:p>
    <w:p w:rsidR="00DA5475" w:rsidRPr="00A163FA" w:rsidRDefault="00DA5475" w:rsidP="00FB4852">
      <w:pPr>
        <w:jc w:val="both"/>
      </w:pPr>
    </w:p>
    <w:sectPr w:rsidR="00DA5475" w:rsidRPr="00A163FA" w:rsidSect="00705E29">
      <w:headerReference w:type="default" r:id="rId7"/>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56" w:rsidRDefault="00D96F56" w:rsidP="007C36F7">
      <w:r>
        <w:separator/>
      </w:r>
    </w:p>
  </w:endnote>
  <w:endnote w:type="continuationSeparator" w:id="0">
    <w:p w:rsidR="00D96F56" w:rsidRDefault="00D96F56" w:rsidP="007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F7" w:rsidRDefault="007C36F7" w:rsidP="007C36F7">
    <w:pPr>
      <w:pStyle w:val="Footer"/>
      <w:jc w:val="right"/>
    </w:pPr>
    <w:r>
      <w:rPr>
        <w:lang w:val="de-DE"/>
      </w:rPr>
      <w:fldChar w:fldCharType="begin"/>
    </w:r>
    <w:r>
      <w:rPr>
        <w:lang w:val="de-DE"/>
      </w:rPr>
      <w:instrText xml:space="preserve"> SAVEDATE  \@ "dd.MM.yyyy"  \* MERGEFORMAT </w:instrText>
    </w:r>
    <w:r>
      <w:rPr>
        <w:lang w:val="de-DE"/>
      </w:rPr>
      <w:fldChar w:fldCharType="separate"/>
    </w:r>
    <w:r w:rsidR="00FF4EE9">
      <w:rPr>
        <w:noProof/>
        <w:lang w:val="de-DE"/>
      </w:rPr>
      <w:t>07.03.2018</w:t>
    </w:r>
    <w:r>
      <w:rPr>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56" w:rsidRDefault="00D96F56" w:rsidP="007C36F7">
      <w:r>
        <w:separator/>
      </w:r>
    </w:p>
  </w:footnote>
  <w:footnote w:type="continuationSeparator" w:id="0">
    <w:p w:rsidR="00D96F56" w:rsidRDefault="00D96F56" w:rsidP="007C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969"/>
    </w:tblGrid>
    <w:tr w:rsidR="007C36F7" w:rsidTr="007C36F7">
      <w:tc>
        <w:tcPr>
          <w:tcW w:w="5240" w:type="dxa"/>
        </w:tcPr>
        <w:p w:rsidR="007C36F7" w:rsidRDefault="007C36F7" w:rsidP="007C36F7">
          <w:pPr>
            <w:pStyle w:val="Header"/>
          </w:pPr>
          <w:r>
            <w:t>Webservice</w:t>
          </w:r>
          <w:r>
            <w:br/>
            <w:t>Standardization</w:t>
          </w:r>
          <w:r>
            <w:br/>
            <w:t>Workgroup</w:t>
          </w:r>
        </w:p>
      </w:tc>
      <w:tc>
        <w:tcPr>
          <w:tcW w:w="3969" w:type="dxa"/>
        </w:tcPr>
        <w:p w:rsidR="007C36F7" w:rsidRDefault="007C36F7" w:rsidP="007C36F7">
          <w:pPr>
            <w:pStyle w:val="Header"/>
            <w:jc w:val="right"/>
          </w:pPr>
          <w:r>
            <w:rPr>
              <w:noProof/>
            </w:rPr>
            <w:drawing>
              <wp:inline distT="0" distB="0" distL="0" distR="0" wp14:anchorId="5DE45129" wp14:editId="1B0A82BD">
                <wp:extent cx="1917700" cy="464820"/>
                <wp:effectExtent l="0" t="0" r="6350" b="0"/>
                <wp:docPr id="18" name="Picture 18" descr="cid:image001.jpg@01D23526.DE84F310"/>
                <wp:cNvGraphicFramePr/>
                <a:graphic xmlns:a="http://schemas.openxmlformats.org/drawingml/2006/main">
                  <a:graphicData uri="http://schemas.openxmlformats.org/drawingml/2006/picture">
                    <pic:pic xmlns:pic="http://schemas.openxmlformats.org/drawingml/2006/picture">
                      <pic:nvPicPr>
                        <pic:cNvPr id="3" name="Picture 3" descr="cid:image001.jpg@01D23526.DE84F3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64820"/>
                        </a:xfrm>
                        <a:prstGeom prst="rect">
                          <a:avLst/>
                        </a:prstGeom>
                        <a:noFill/>
                        <a:ln>
                          <a:noFill/>
                        </a:ln>
                      </pic:spPr>
                    </pic:pic>
                  </a:graphicData>
                </a:graphic>
              </wp:inline>
            </w:drawing>
          </w:r>
        </w:p>
        <w:p w:rsidR="00215CBD" w:rsidRDefault="00215CBD" w:rsidP="007C36F7">
          <w:pPr>
            <w:pStyle w:val="Header"/>
            <w:jc w:val="right"/>
          </w:pPr>
          <w:r>
            <w:t xml:space="preserve">Page </w:t>
          </w:r>
          <w:r>
            <w:fldChar w:fldCharType="begin"/>
          </w:r>
          <w:r>
            <w:instrText xml:space="preserve"> PAGE  \* Arabic  \* MERGEFORMAT </w:instrText>
          </w:r>
          <w:r>
            <w:fldChar w:fldCharType="separate"/>
          </w:r>
          <w:r w:rsidR="00FF4EE9">
            <w:rPr>
              <w:noProof/>
            </w:rPr>
            <w:t>2</w:t>
          </w:r>
          <w:r>
            <w:fldChar w:fldCharType="end"/>
          </w:r>
          <w:r>
            <w:t xml:space="preserve"> of </w:t>
          </w:r>
          <w:r w:rsidR="00FF4EE9">
            <w:fldChar w:fldCharType="begin"/>
          </w:r>
          <w:r w:rsidR="00FF4EE9">
            <w:instrText xml:space="preserve"> NUMPAGES   \* MERGEFORMAT </w:instrText>
          </w:r>
          <w:r w:rsidR="00FF4EE9">
            <w:fldChar w:fldCharType="separate"/>
          </w:r>
          <w:r w:rsidR="00FF4EE9">
            <w:rPr>
              <w:noProof/>
            </w:rPr>
            <w:t>2</w:t>
          </w:r>
          <w:r w:rsidR="00FF4EE9">
            <w:rPr>
              <w:noProof/>
            </w:rPr>
            <w:fldChar w:fldCharType="end"/>
          </w:r>
        </w:p>
      </w:tc>
    </w:tr>
  </w:tbl>
  <w:p w:rsidR="007C36F7" w:rsidRDefault="007C36F7" w:rsidP="007C36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707"/>
    <w:multiLevelType w:val="multilevel"/>
    <w:tmpl w:val="949C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56D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0A1E93"/>
    <w:multiLevelType w:val="hybridMultilevel"/>
    <w:tmpl w:val="5A00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169D1"/>
    <w:multiLevelType w:val="hybridMultilevel"/>
    <w:tmpl w:val="23BC3562"/>
    <w:lvl w:ilvl="0" w:tplc="7730CF1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851588"/>
    <w:multiLevelType w:val="hybridMultilevel"/>
    <w:tmpl w:val="83D28598"/>
    <w:lvl w:ilvl="0" w:tplc="8C18E3DE">
      <w:start w:val="2"/>
      <w:numFmt w:val="decimal"/>
      <w:lvlText w:val="%1."/>
      <w:lvlJc w:val="left"/>
      <w:pPr>
        <w:tabs>
          <w:tab w:val="num" w:pos="720"/>
        </w:tabs>
        <w:ind w:left="720" w:hanging="360"/>
      </w:pPr>
    </w:lvl>
    <w:lvl w:ilvl="1" w:tplc="52609A50">
      <w:start w:val="1"/>
      <w:numFmt w:val="decimal"/>
      <w:lvlText w:val="%2."/>
      <w:lvlJc w:val="left"/>
      <w:pPr>
        <w:tabs>
          <w:tab w:val="num" w:pos="1440"/>
        </w:tabs>
        <w:ind w:left="1440" w:hanging="360"/>
      </w:pPr>
    </w:lvl>
    <w:lvl w:ilvl="2" w:tplc="8F4CD976" w:tentative="1">
      <w:start w:val="1"/>
      <w:numFmt w:val="decimal"/>
      <w:lvlText w:val="%3."/>
      <w:lvlJc w:val="left"/>
      <w:pPr>
        <w:tabs>
          <w:tab w:val="num" w:pos="2160"/>
        </w:tabs>
        <w:ind w:left="2160" w:hanging="360"/>
      </w:pPr>
    </w:lvl>
    <w:lvl w:ilvl="3" w:tplc="FC5040FE" w:tentative="1">
      <w:start w:val="1"/>
      <w:numFmt w:val="decimal"/>
      <w:lvlText w:val="%4."/>
      <w:lvlJc w:val="left"/>
      <w:pPr>
        <w:tabs>
          <w:tab w:val="num" w:pos="2880"/>
        </w:tabs>
        <w:ind w:left="2880" w:hanging="360"/>
      </w:pPr>
    </w:lvl>
    <w:lvl w:ilvl="4" w:tplc="CC927B8C" w:tentative="1">
      <w:start w:val="1"/>
      <w:numFmt w:val="decimal"/>
      <w:lvlText w:val="%5."/>
      <w:lvlJc w:val="left"/>
      <w:pPr>
        <w:tabs>
          <w:tab w:val="num" w:pos="3600"/>
        </w:tabs>
        <w:ind w:left="3600" w:hanging="360"/>
      </w:pPr>
    </w:lvl>
    <w:lvl w:ilvl="5" w:tplc="263C58C4" w:tentative="1">
      <w:start w:val="1"/>
      <w:numFmt w:val="decimal"/>
      <w:lvlText w:val="%6."/>
      <w:lvlJc w:val="left"/>
      <w:pPr>
        <w:tabs>
          <w:tab w:val="num" w:pos="4320"/>
        </w:tabs>
        <w:ind w:left="4320" w:hanging="360"/>
      </w:pPr>
    </w:lvl>
    <w:lvl w:ilvl="6" w:tplc="E0363656" w:tentative="1">
      <w:start w:val="1"/>
      <w:numFmt w:val="decimal"/>
      <w:lvlText w:val="%7."/>
      <w:lvlJc w:val="left"/>
      <w:pPr>
        <w:tabs>
          <w:tab w:val="num" w:pos="5040"/>
        </w:tabs>
        <w:ind w:left="5040" w:hanging="360"/>
      </w:pPr>
    </w:lvl>
    <w:lvl w:ilvl="7" w:tplc="F2F6908A" w:tentative="1">
      <w:start w:val="1"/>
      <w:numFmt w:val="decimal"/>
      <w:lvlText w:val="%8."/>
      <w:lvlJc w:val="left"/>
      <w:pPr>
        <w:tabs>
          <w:tab w:val="num" w:pos="5760"/>
        </w:tabs>
        <w:ind w:left="5760" w:hanging="360"/>
      </w:pPr>
    </w:lvl>
    <w:lvl w:ilvl="8" w:tplc="92E86408" w:tentative="1">
      <w:start w:val="1"/>
      <w:numFmt w:val="decimal"/>
      <w:lvlText w:val="%9."/>
      <w:lvlJc w:val="left"/>
      <w:pPr>
        <w:tabs>
          <w:tab w:val="num" w:pos="6480"/>
        </w:tabs>
        <w:ind w:left="6480" w:hanging="360"/>
      </w:pPr>
    </w:lvl>
  </w:abstractNum>
  <w:abstractNum w:abstractNumId="5" w15:restartNumberingAfterBreak="0">
    <w:nsid w:val="607546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84"/>
    <w:rsid w:val="000A3BE0"/>
    <w:rsid w:val="000F6D3F"/>
    <w:rsid w:val="00114F01"/>
    <w:rsid w:val="00117036"/>
    <w:rsid w:val="001232D5"/>
    <w:rsid w:val="001313B6"/>
    <w:rsid w:val="00135835"/>
    <w:rsid w:val="00180535"/>
    <w:rsid w:val="001821B8"/>
    <w:rsid w:val="001F3931"/>
    <w:rsid w:val="001F49B3"/>
    <w:rsid w:val="00215CBD"/>
    <w:rsid w:val="0024792F"/>
    <w:rsid w:val="002625B6"/>
    <w:rsid w:val="002C007F"/>
    <w:rsid w:val="002D7080"/>
    <w:rsid w:val="002F19CA"/>
    <w:rsid w:val="00341CF0"/>
    <w:rsid w:val="00451F23"/>
    <w:rsid w:val="00461F5D"/>
    <w:rsid w:val="00493353"/>
    <w:rsid w:val="004B0B08"/>
    <w:rsid w:val="004D79C6"/>
    <w:rsid w:val="004E16D1"/>
    <w:rsid w:val="00523048"/>
    <w:rsid w:val="005E4325"/>
    <w:rsid w:val="00672C05"/>
    <w:rsid w:val="00705E29"/>
    <w:rsid w:val="00782974"/>
    <w:rsid w:val="007C36F7"/>
    <w:rsid w:val="00856EC6"/>
    <w:rsid w:val="008A7892"/>
    <w:rsid w:val="00904650"/>
    <w:rsid w:val="00935C03"/>
    <w:rsid w:val="00953EE4"/>
    <w:rsid w:val="0097238F"/>
    <w:rsid w:val="009A6256"/>
    <w:rsid w:val="00A163FA"/>
    <w:rsid w:val="00AF7B39"/>
    <w:rsid w:val="00B11DE9"/>
    <w:rsid w:val="00B51C68"/>
    <w:rsid w:val="00B64D21"/>
    <w:rsid w:val="00C227AD"/>
    <w:rsid w:val="00C233C6"/>
    <w:rsid w:val="00C63824"/>
    <w:rsid w:val="00CA0F39"/>
    <w:rsid w:val="00CD62AA"/>
    <w:rsid w:val="00D159F7"/>
    <w:rsid w:val="00D96F56"/>
    <w:rsid w:val="00DA5475"/>
    <w:rsid w:val="00DB6731"/>
    <w:rsid w:val="00DC0584"/>
    <w:rsid w:val="00E12098"/>
    <w:rsid w:val="00E311DD"/>
    <w:rsid w:val="00E357B6"/>
    <w:rsid w:val="00E87A3B"/>
    <w:rsid w:val="00EB6B8F"/>
    <w:rsid w:val="00F3033D"/>
    <w:rsid w:val="00FB2FA0"/>
    <w:rsid w:val="00FB4852"/>
    <w:rsid w:val="00FF4E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7F0F8E-33AD-49DD-9D70-5E27FEAA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F39"/>
    <w:pPr>
      <w:ind w:left="720"/>
      <w:contextualSpacing/>
    </w:pPr>
  </w:style>
  <w:style w:type="paragraph" w:styleId="Header">
    <w:name w:val="header"/>
    <w:basedOn w:val="Normal"/>
    <w:link w:val="HeaderChar"/>
    <w:uiPriority w:val="99"/>
    <w:unhideWhenUsed/>
    <w:rsid w:val="007C36F7"/>
    <w:pPr>
      <w:tabs>
        <w:tab w:val="center" w:pos="4680"/>
        <w:tab w:val="right" w:pos="9360"/>
      </w:tabs>
    </w:pPr>
  </w:style>
  <w:style w:type="character" w:customStyle="1" w:styleId="HeaderChar">
    <w:name w:val="Header Char"/>
    <w:basedOn w:val="DefaultParagraphFont"/>
    <w:link w:val="Header"/>
    <w:uiPriority w:val="99"/>
    <w:rsid w:val="007C36F7"/>
  </w:style>
  <w:style w:type="paragraph" w:styleId="Footer">
    <w:name w:val="footer"/>
    <w:basedOn w:val="Normal"/>
    <w:link w:val="FooterChar"/>
    <w:uiPriority w:val="99"/>
    <w:unhideWhenUsed/>
    <w:rsid w:val="007C36F7"/>
    <w:pPr>
      <w:tabs>
        <w:tab w:val="center" w:pos="4680"/>
        <w:tab w:val="right" w:pos="9360"/>
      </w:tabs>
    </w:pPr>
  </w:style>
  <w:style w:type="character" w:customStyle="1" w:styleId="FooterChar">
    <w:name w:val="Footer Char"/>
    <w:basedOn w:val="DefaultParagraphFont"/>
    <w:link w:val="Footer"/>
    <w:uiPriority w:val="99"/>
    <w:rsid w:val="007C36F7"/>
  </w:style>
  <w:style w:type="table" w:styleId="TableGrid">
    <w:name w:val="Table Grid"/>
    <w:basedOn w:val="TableNormal"/>
    <w:uiPriority w:val="39"/>
    <w:rsid w:val="007C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CF0"/>
    <w:rPr>
      <w:color w:val="E75200" w:themeColor="hyperlink"/>
      <w:u w:val="single"/>
    </w:rPr>
  </w:style>
  <w:style w:type="character" w:styleId="HTMLCode">
    <w:name w:val="HTML Code"/>
    <w:basedOn w:val="DefaultParagraphFont"/>
    <w:uiPriority w:val="99"/>
    <w:semiHidden/>
    <w:unhideWhenUsed/>
    <w:rsid w:val="00DA5475"/>
    <w:rPr>
      <w:rFonts w:ascii="Courier New" w:eastAsia="Times New Roman" w:hAnsi="Courier New" w:cs="Courier New"/>
      <w:sz w:val="20"/>
      <w:szCs w:val="20"/>
    </w:rPr>
  </w:style>
  <w:style w:type="character" w:styleId="Strong">
    <w:name w:val="Strong"/>
    <w:basedOn w:val="DefaultParagraphFont"/>
    <w:uiPriority w:val="22"/>
    <w:qFormat/>
    <w:rsid w:val="00DA5475"/>
    <w:rPr>
      <w:b/>
      <w:bCs/>
    </w:rPr>
  </w:style>
  <w:style w:type="paragraph" w:styleId="NormalWeb">
    <w:name w:val="Normal (Web)"/>
    <w:basedOn w:val="Normal"/>
    <w:uiPriority w:val="99"/>
    <w:semiHidden/>
    <w:unhideWhenUsed/>
    <w:rsid w:val="00DA5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A5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9237">
      <w:bodyDiv w:val="1"/>
      <w:marLeft w:val="0"/>
      <w:marRight w:val="0"/>
      <w:marTop w:val="0"/>
      <w:marBottom w:val="0"/>
      <w:divBdr>
        <w:top w:val="none" w:sz="0" w:space="0" w:color="auto"/>
        <w:left w:val="none" w:sz="0" w:space="0" w:color="auto"/>
        <w:bottom w:val="none" w:sz="0" w:space="0" w:color="auto"/>
        <w:right w:val="none" w:sz="0" w:space="0" w:color="auto"/>
      </w:divBdr>
      <w:divsChild>
        <w:div w:id="1855729924">
          <w:marLeft w:val="0"/>
          <w:marRight w:val="0"/>
          <w:marTop w:val="0"/>
          <w:marBottom w:val="0"/>
          <w:divBdr>
            <w:top w:val="none" w:sz="0" w:space="0" w:color="auto"/>
            <w:left w:val="none" w:sz="0" w:space="0" w:color="auto"/>
            <w:bottom w:val="none" w:sz="0" w:space="0" w:color="auto"/>
            <w:right w:val="none" w:sz="0" w:space="0" w:color="auto"/>
          </w:divBdr>
          <w:divsChild>
            <w:div w:id="1490629438">
              <w:marLeft w:val="0"/>
              <w:marRight w:val="0"/>
              <w:marTop w:val="0"/>
              <w:marBottom w:val="0"/>
              <w:divBdr>
                <w:top w:val="none" w:sz="0" w:space="0" w:color="auto"/>
                <w:left w:val="none" w:sz="0" w:space="0" w:color="auto"/>
                <w:bottom w:val="none" w:sz="0" w:space="0" w:color="auto"/>
                <w:right w:val="none" w:sz="0" w:space="0" w:color="auto"/>
              </w:divBdr>
              <w:divsChild>
                <w:div w:id="536890666">
                  <w:marLeft w:val="0"/>
                  <w:marRight w:val="0"/>
                  <w:marTop w:val="0"/>
                  <w:marBottom w:val="0"/>
                  <w:divBdr>
                    <w:top w:val="none" w:sz="0" w:space="0" w:color="auto"/>
                    <w:left w:val="none" w:sz="0" w:space="0" w:color="auto"/>
                    <w:bottom w:val="none" w:sz="0" w:space="0" w:color="auto"/>
                    <w:right w:val="none" w:sz="0" w:space="0" w:color="auto"/>
                  </w:divBdr>
                  <w:divsChild>
                    <w:div w:id="1749308663">
                      <w:marLeft w:val="0"/>
                      <w:marRight w:val="0"/>
                      <w:marTop w:val="0"/>
                      <w:marBottom w:val="0"/>
                      <w:divBdr>
                        <w:top w:val="none" w:sz="0" w:space="0" w:color="auto"/>
                        <w:left w:val="none" w:sz="0" w:space="0" w:color="auto"/>
                        <w:bottom w:val="none" w:sz="0" w:space="0" w:color="auto"/>
                        <w:right w:val="none" w:sz="0" w:space="0" w:color="auto"/>
                      </w:divBdr>
                      <w:divsChild>
                        <w:div w:id="300814200">
                          <w:marLeft w:val="0"/>
                          <w:marRight w:val="0"/>
                          <w:marTop w:val="0"/>
                          <w:marBottom w:val="0"/>
                          <w:divBdr>
                            <w:top w:val="none" w:sz="0" w:space="0" w:color="auto"/>
                            <w:left w:val="none" w:sz="0" w:space="0" w:color="auto"/>
                            <w:bottom w:val="none" w:sz="0" w:space="0" w:color="auto"/>
                            <w:right w:val="none" w:sz="0" w:space="0" w:color="auto"/>
                          </w:divBdr>
                          <w:divsChild>
                            <w:div w:id="19590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21982">
      <w:bodyDiv w:val="1"/>
      <w:marLeft w:val="0"/>
      <w:marRight w:val="0"/>
      <w:marTop w:val="0"/>
      <w:marBottom w:val="0"/>
      <w:divBdr>
        <w:top w:val="none" w:sz="0" w:space="0" w:color="auto"/>
        <w:left w:val="none" w:sz="0" w:space="0" w:color="auto"/>
        <w:bottom w:val="none" w:sz="0" w:space="0" w:color="auto"/>
        <w:right w:val="none" w:sz="0" w:space="0" w:color="auto"/>
      </w:divBdr>
      <w:divsChild>
        <w:div w:id="1161585347">
          <w:marLeft w:val="0"/>
          <w:marRight w:val="0"/>
          <w:marTop w:val="0"/>
          <w:marBottom w:val="0"/>
          <w:divBdr>
            <w:top w:val="none" w:sz="0" w:space="0" w:color="auto"/>
            <w:left w:val="none" w:sz="0" w:space="0" w:color="auto"/>
            <w:bottom w:val="none" w:sz="0" w:space="0" w:color="auto"/>
            <w:right w:val="none" w:sz="0" w:space="0" w:color="auto"/>
          </w:divBdr>
        </w:div>
      </w:divsChild>
    </w:div>
    <w:div w:id="659818718">
      <w:bodyDiv w:val="1"/>
      <w:marLeft w:val="0"/>
      <w:marRight w:val="0"/>
      <w:marTop w:val="0"/>
      <w:marBottom w:val="0"/>
      <w:divBdr>
        <w:top w:val="none" w:sz="0" w:space="0" w:color="auto"/>
        <w:left w:val="none" w:sz="0" w:space="0" w:color="auto"/>
        <w:bottom w:val="none" w:sz="0" w:space="0" w:color="auto"/>
        <w:right w:val="none" w:sz="0" w:space="0" w:color="auto"/>
      </w:divBdr>
    </w:div>
    <w:div w:id="972759682">
      <w:bodyDiv w:val="1"/>
      <w:marLeft w:val="0"/>
      <w:marRight w:val="0"/>
      <w:marTop w:val="0"/>
      <w:marBottom w:val="0"/>
      <w:divBdr>
        <w:top w:val="none" w:sz="0" w:space="0" w:color="auto"/>
        <w:left w:val="none" w:sz="0" w:space="0" w:color="auto"/>
        <w:bottom w:val="none" w:sz="0" w:space="0" w:color="auto"/>
        <w:right w:val="none" w:sz="0" w:space="0" w:color="auto"/>
      </w:divBdr>
      <w:divsChild>
        <w:div w:id="1484196299">
          <w:marLeft w:val="360"/>
          <w:marRight w:val="0"/>
          <w:marTop w:val="120"/>
          <w:marBottom w:val="120"/>
          <w:divBdr>
            <w:top w:val="none" w:sz="0" w:space="0" w:color="auto"/>
            <w:left w:val="none" w:sz="0" w:space="0" w:color="auto"/>
            <w:bottom w:val="none" w:sz="0" w:space="0" w:color="auto"/>
            <w:right w:val="none" w:sz="0" w:space="0" w:color="auto"/>
          </w:divBdr>
        </w:div>
        <w:div w:id="155460139">
          <w:marLeft w:val="547"/>
          <w:marRight w:val="0"/>
          <w:marTop w:val="120"/>
          <w:marBottom w:val="120"/>
          <w:divBdr>
            <w:top w:val="none" w:sz="0" w:space="0" w:color="auto"/>
            <w:left w:val="none" w:sz="0" w:space="0" w:color="auto"/>
            <w:bottom w:val="none" w:sz="0" w:space="0" w:color="auto"/>
            <w:right w:val="none" w:sz="0" w:space="0" w:color="auto"/>
          </w:divBdr>
        </w:div>
        <w:div w:id="1451051074">
          <w:marLeft w:val="547"/>
          <w:marRight w:val="0"/>
          <w:marTop w:val="120"/>
          <w:marBottom w:val="120"/>
          <w:divBdr>
            <w:top w:val="none" w:sz="0" w:space="0" w:color="auto"/>
            <w:left w:val="none" w:sz="0" w:space="0" w:color="auto"/>
            <w:bottom w:val="none" w:sz="0" w:space="0" w:color="auto"/>
            <w:right w:val="none" w:sz="0" w:space="0" w:color="auto"/>
          </w:divBdr>
        </w:div>
        <w:div w:id="13634186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apag-Lloyd">
      <a:dk1>
        <a:sysClr val="windowText" lastClr="000000"/>
      </a:dk1>
      <a:lt1>
        <a:sysClr val="window" lastClr="FFFFFF"/>
      </a:lt1>
      <a:dk2>
        <a:srgbClr val="414048"/>
      </a:dk2>
      <a:lt2>
        <a:srgbClr val="DBDBDF"/>
      </a:lt2>
      <a:accent1>
        <a:srgbClr val="111565"/>
      </a:accent1>
      <a:accent2>
        <a:srgbClr val="0341D2"/>
      </a:accent2>
      <a:accent3>
        <a:srgbClr val="9F9DA7"/>
      </a:accent3>
      <a:accent4>
        <a:srgbClr val="F79646"/>
      </a:accent4>
      <a:accent5>
        <a:srgbClr val="87B7FD"/>
      </a:accent5>
      <a:accent6>
        <a:srgbClr val="E75200"/>
      </a:accent6>
      <a:hlink>
        <a:srgbClr val="E75200"/>
      </a:hlink>
      <a:folHlink>
        <a:srgbClr val="1115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2D9E67F2.dotm</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Hapag-Lloyd AG</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Neumann</dc:creator>
  <cp:keywords/>
  <dc:description/>
  <cp:lastModifiedBy>Schroeder, Michael</cp:lastModifiedBy>
  <cp:revision>3</cp:revision>
  <dcterms:created xsi:type="dcterms:W3CDTF">2018-03-07T17:26:00Z</dcterms:created>
  <dcterms:modified xsi:type="dcterms:W3CDTF">2018-03-09T12:52:00Z</dcterms:modified>
</cp:coreProperties>
</file>