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F7" w:rsidRDefault="007C36F7" w:rsidP="00DC0584">
      <w:pPr>
        <w:rPr>
          <w:b/>
          <w:bCs/>
        </w:rPr>
      </w:pPr>
    </w:p>
    <w:p w:rsidR="002B5BE1" w:rsidRDefault="002B5BE1" w:rsidP="002B5BE1">
      <w:pPr>
        <w:rPr>
          <w:b/>
          <w:bCs/>
        </w:rPr>
      </w:pPr>
      <w:r w:rsidRPr="00117036">
        <w:rPr>
          <w:b/>
          <w:bCs/>
          <w:sz w:val="28"/>
        </w:rPr>
        <w:t>Deliverables</w:t>
      </w:r>
      <w:r>
        <w:rPr>
          <w:b/>
          <w:bCs/>
        </w:rPr>
        <w:br/>
      </w:r>
      <w:r w:rsidRPr="00117036">
        <w:rPr>
          <w:bCs/>
        </w:rPr>
        <w:t>as drafted on 13 Dec 2017</w:t>
      </w:r>
      <w:r>
        <w:rPr>
          <w:b/>
          <w:bCs/>
        </w:rPr>
        <w:t xml:space="preserve"> </w:t>
      </w:r>
    </w:p>
    <w:p w:rsidR="00547234" w:rsidRDefault="002B5BE1" w:rsidP="00DC0584">
      <w:pPr>
        <w:rPr>
          <w:bCs/>
        </w:rPr>
      </w:pPr>
      <w:r w:rsidRPr="002B5BE1">
        <w:rPr>
          <w:bCs/>
        </w:rPr>
        <w:t xml:space="preserve">+ </w:t>
      </w:r>
      <w:proofErr w:type="gramStart"/>
      <w:r w:rsidRPr="002B5BE1">
        <w:rPr>
          <w:bCs/>
        </w:rPr>
        <w:t>minutes</w:t>
      </w:r>
      <w:proofErr w:type="gramEnd"/>
      <w:r w:rsidRPr="002B5BE1">
        <w:rPr>
          <w:bCs/>
        </w:rPr>
        <w:t xml:space="preserve"> from 08 March 2018</w:t>
      </w:r>
      <w:r>
        <w:rPr>
          <w:bCs/>
        </w:rPr>
        <w:t xml:space="preserve"> </w:t>
      </w:r>
      <w:r w:rsidRPr="002B5BE1">
        <w:rPr>
          <w:bCs/>
          <w:i/>
          <w:color w:val="FF0000"/>
        </w:rPr>
        <w:t>marked red</w:t>
      </w:r>
      <w:r>
        <w:rPr>
          <w:bCs/>
        </w:rPr>
        <w:t xml:space="preserve"> </w:t>
      </w:r>
      <w:r w:rsidR="00547234">
        <w:rPr>
          <w:bCs/>
        </w:rPr>
        <w:br/>
      </w:r>
    </w:p>
    <w:p w:rsidR="00547234" w:rsidRDefault="00547234" w:rsidP="00DC0584">
      <w:pPr>
        <w:rPr>
          <w:bCs/>
        </w:rPr>
      </w:pPr>
    </w:p>
    <w:p w:rsidR="00F33973" w:rsidRDefault="00F33973" w:rsidP="00DC0584">
      <w:pPr>
        <w:rPr>
          <w:bCs/>
        </w:rPr>
      </w:pPr>
    </w:p>
    <w:p w:rsidR="00547234" w:rsidRPr="00547234" w:rsidRDefault="00547234" w:rsidP="00547234">
      <w:pPr>
        <w:rPr>
          <w:b/>
          <w:sz w:val="28"/>
        </w:rPr>
      </w:pPr>
      <w:r w:rsidRPr="00547234">
        <w:rPr>
          <w:b/>
          <w:bCs/>
          <w:sz w:val="28"/>
        </w:rPr>
        <w:t>In a nutshell</w:t>
      </w:r>
    </w:p>
    <w:p w:rsidR="00547234" w:rsidRDefault="00547234" w:rsidP="00547234">
      <w:pPr>
        <w:pStyle w:val="ListParagraph"/>
        <w:numPr>
          <w:ilvl w:val="0"/>
          <w:numId w:val="5"/>
        </w:numPr>
      </w:pPr>
      <w:r>
        <w:t xml:space="preserve">Provide standards for the description of Input Request and Output Response, </w:t>
      </w:r>
      <w:r w:rsidR="00F33973">
        <w:br/>
      </w:r>
      <w:r>
        <w:t>based on CCL / MMT.</w:t>
      </w:r>
      <w:r>
        <w:br/>
      </w:r>
    </w:p>
    <w:p w:rsidR="00547234" w:rsidRPr="00547234" w:rsidRDefault="00547234" w:rsidP="00547234">
      <w:pPr>
        <w:pStyle w:val="ListParagraph"/>
        <w:numPr>
          <w:ilvl w:val="0"/>
          <w:numId w:val="5"/>
        </w:numPr>
      </w:pPr>
      <w:r>
        <w:t xml:space="preserve">Provide </w:t>
      </w:r>
      <w:r w:rsidRPr="00547234">
        <w:t>basic principles</w:t>
      </w:r>
      <w:r>
        <w:t xml:space="preserve"> for Webservice usage and implementation / </w:t>
      </w:r>
      <w:r>
        <w:br/>
        <w:t xml:space="preserve">design guideline. </w:t>
      </w:r>
      <w:r w:rsidRPr="00547234">
        <w:t>Make recommendations on best practices</w:t>
      </w:r>
      <w:r>
        <w:t>.</w:t>
      </w:r>
      <w:r>
        <w:br/>
      </w:r>
    </w:p>
    <w:p w:rsidR="00547234" w:rsidRPr="00547234" w:rsidRDefault="00547234" w:rsidP="004940F5">
      <w:pPr>
        <w:pStyle w:val="ListParagraph"/>
        <w:numPr>
          <w:ilvl w:val="0"/>
          <w:numId w:val="5"/>
        </w:numPr>
        <w:rPr>
          <w:b/>
          <w:sz w:val="28"/>
        </w:rPr>
      </w:pPr>
      <w:r w:rsidRPr="00547234">
        <w:rPr>
          <w:bCs/>
        </w:rPr>
        <w:t xml:space="preserve">Provide reference implementation of some pilot </w:t>
      </w:r>
      <w:proofErr w:type="spellStart"/>
      <w:r w:rsidRPr="00547234">
        <w:rPr>
          <w:bCs/>
        </w:rPr>
        <w:t>Webservices</w:t>
      </w:r>
      <w:proofErr w:type="spellEnd"/>
      <w:r w:rsidRPr="00547234">
        <w:rPr>
          <w:bCs/>
        </w:rPr>
        <w:t>, based on the proposed standards. Also a manual describing the underlying business process.</w:t>
      </w:r>
      <w:r w:rsidR="00FC5A82">
        <w:rPr>
          <w:bCs/>
        </w:rPr>
        <w:br/>
        <w:t>Make this publicly available.</w:t>
      </w:r>
      <w:r>
        <w:rPr>
          <w:bCs/>
        </w:rPr>
        <w:br/>
      </w:r>
    </w:p>
    <w:p w:rsidR="00F67DC1" w:rsidRPr="00F67DC1" w:rsidRDefault="00547234" w:rsidP="00F67DC1">
      <w:pPr>
        <w:pStyle w:val="ListParagraph"/>
        <w:numPr>
          <w:ilvl w:val="0"/>
          <w:numId w:val="5"/>
        </w:numPr>
        <w:ind w:left="709"/>
        <w:rPr>
          <w:b/>
          <w:sz w:val="28"/>
        </w:rPr>
      </w:pPr>
      <w:r w:rsidRPr="00DC0584">
        <w:t xml:space="preserve">Create a </w:t>
      </w:r>
      <w:r w:rsidRPr="00547234">
        <w:t>marketing document</w:t>
      </w:r>
      <w:r w:rsidRPr="00DC0584">
        <w:t xml:space="preserve">, describing the intentions </w:t>
      </w:r>
      <w:r>
        <w:t>of this Workgroup.</w:t>
      </w:r>
      <w:r>
        <w:br/>
      </w:r>
    </w:p>
    <w:p w:rsidR="00F67DC1" w:rsidRPr="00F67DC1" w:rsidRDefault="00F67DC1" w:rsidP="00F67DC1">
      <w:pPr>
        <w:ind w:left="-360"/>
        <w:rPr>
          <w:b/>
          <w:sz w:val="28"/>
        </w:rPr>
      </w:pPr>
    </w:p>
    <w:p w:rsidR="00547234" w:rsidRPr="00FC5A82" w:rsidRDefault="00FC5A82" w:rsidP="00FC5A82">
      <w:pPr>
        <w:ind w:left="-360"/>
        <w:rPr>
          <w:b/>
          <w:sz w:val="28"/>
        </w:rPr>
      </w:pPr>
      <w:r>
        <w:rPr>
          <w:b/>
          <w:bCs/>
          <w:sz w:val="28"/>
        </w:rPr>
        <w:t xml:space="preserve">     </w:t>
      </w:r>
      <w:r w:rsidR="00547234" w:rsidRPr="00FC5A82">
        <w:rPr>
          <w:b/>
          <w:bCs/>
          <w:sz w:val="28"/>
        </w:rPr>
        <w:t>In detail</w:t>
      </w:r>
    </w:p>
    <w:p w:rsidR="00DC0584" w:rsidRPr="002B5BE1" w:rsidRDefault="00DC0584" w:rsidP="00547234">
      <w:pPr>
        <w:ind w:left="360"/>
      </w:pPr>
      <w:r w:rsidRPr="00547234">
        <w:rPr>
          <w:bCs/>
        </w:rPr>
        <w:t xml:space="preserve"> </w:t>
      </w:r>
    </w:p>
    <w:p w:rsidR="00FC5A82" w:rsidRDefault="008A7892" w:rsidP="008F6950">
      <w:pPr>
        <w:numPr>
          <w:ilvl w:val="0"/>
          <w:numId w:val="1"/>
        </w:numPr>
      </w:pPr>
      <w:r w:rsidRPr="00B0581C">
        <w:rPr>
          <w:b/>
        </w:rPr>
        <w:t xml:space="preserve">Webservice candidates </w:t>
      </w:r>
      <w:r w:rsidR="00117036" w:rsidRPr="00B0581C">
        <w:rPr>
          <w:b/>
        </w:rPr>
        <w:t>as pilot / demonstrator</w:t>
      </w:r>
      <w:r w:rsidR="00B0581C" w:rsidRPr="00B0581C">
        <w:rPr>
          <w:b/>
        </w:rPr>
        <w:br/>
      </w:r>
      <w:r w:rsidR="002B5BE1" w:rsidRPr="002B5BE1">
        <w:rPr>
          <w:color w:val="FF0000"/>
        </w:rPr>
        <w:sym w:font="Wingdings" w:char="F0E8"/>
      </w:r>
      <w:r w:rsidR="002B5BE1">
        <w:t xml:space="preserve"> </w:t>
      </w:r>
      <w:r w:rsidR="00B0581C">
        <w:t>There is some reservation against the two candidates that were nominated in last meeting</w:t>
      </w:r>
      <w:r w:rsidR="001F55D1">
        <w:t xml:space="preserve"> (Dec.2017)</w:t>
      </w:r>
      <w:r w:rsidR="00B0581C">
        <w:t>, therefore now a 3</w:t>
      </w:r>
      <w:r w:rsidR="00B0581C" w:rsidRPr="00B0581C">
        <w:rPr>
          <w:vertAlign w:val="superscript"/>
        </w:rPr>
        <w:t>rd</w:t>
      </w:r>
      <w:r w:rsidR="00B0581C">
        <w:t xml:space="preserve"> candidate is added:</w:t>
      </w:r>
      <w:r w:rsidR="002B5BE1">
        <w:t xml:space="preserve"> </w:t>
      </w:r>
      <w:r w:rsidR="00B0581C">
        <w:br/>
      </w:r>
      <w:r w:rsidRPr="00DC0584">
        <w:br/>
      </w:r>
      <w:r w:rsidR="00B0581C">
        <w:t>1</w:t>
      </w:r>
      <w:r w:rsidR="00B0581C" w:rsidRPr="00B0581C">
        <w:rPr>
          <w:vertAlign w:val="superscript"/>
        </w:rPr>
        <w:t>st</w:t>
      </w:r>
      <w:r w:rsidR="00B0581C">
        <w:t xml:space="preserve"> </w:t>
      </w:r>
      <w:r w:rsidR="00BE50CC">
        <w:t xml:space="preserve"> </w:t>
      </w:r>
      <w:r w:rsidRPr="00DC0584">
        <w:t>candidate</w:t>
      </w:r>
      <w:r w:rsidR="00117036">
        <w:t>:</w:t>
      </w:r>
      <w:r w:rsidRPr="00DC0584">
        <w:t xml:space="preserve"> “</w:t>
      </w:r>
      <w:r w:rsidRPr="00B0581C">
        <w:rPr>
          <w:b/>
          <w:bCs/>
        </w:rPr>
        <w:t>Get container master data</w:t>
      </w:r>
      <w:r w:rsidRPr="00DC0584">
        <w:t xml:space="preserve">” </w:t>
      </w:r>
      <w:r w:rsidR="002B5BE1">
        <w:br/>
      </w:r>
      <w:r w:rsidR="002B5BE1" w:rsidRPr="00341CF0">
        <w:rPr>
          <w:u w:val="single"/>
        </w:rPr>
        <w:t>Remark</w:t>
      </w:r>
      <w:r w:rsidR="002B5BE1">
        <w:t>:</w:t>
      </w:r>
      <w:r w:rsidR="002B5BE1" w:rsidRPr="00DC0584">
        <w:t xml:space="preserve"> </w:t>
      </w:r>
      <w:r w:rsidR="002B5BE1">
        <w:t>As Peter points out, there exists a similar API</w:t>
      </w:r>
      <w:r w:rsidR="002B5BE1" w:rsidRPr="00DC0584">
        <w:t xml:space="preserve"> from the BIC to </w:t>
      </w:r>
      <w:r w:rsidR="002B5BE1">
        <w:t>be</w:t>
      </w:r>
      <w:r w:rsidR="002B5BE1" w:rsidRPr="00DC0584">
        <w:t xml:space="preserve"> use</w:t>
      </w:r>
      <w:r w:rsidR="002B5BE1">
        <w:t>d</w:t>
      </w:r>
      <w:r w:rsidR="002B5BE1" w:rsidRPr="00DC0584">
        <w:t xml:space="preserve"> for their </w:t>
      </w:r>
      <w:proofErr w:type="spellStart"/>
      <w:r w:rsidR="002B5BE1" w:rsidRPr="00DC0584">
        <w:t>BoxTech</w:t>
      </w:r>
      <w:proofErr w:type="spellEnd"/>
      <w:r w:rsidR="002B5BE1" w:rsidRPr="00DC0584">
        <w:t xml:space="preserve"> database</w:t>
      </w:r>
      <w:r w:rsidR="002B5BE1">
        <w:t xml:space="preserve">. It's </w:t>
      </w:r>
      <w:r w:rsidR="002B5BE1" w:rsidRPr="00341CF0">
        <w:t>simple, REST-based, done with SWAGGER/OpenAPI and public</w:t>
      </w:r>
      <w:proofErr w:type="gramStart"/>
      <w:r w:rsidR="002B5BE1" w:rsidRPr="00341CF0">
        <w:t>:</w:t>
      </w:r>
      <w:proofErr w:type="gramEnd"/>
      <w:r w:rsidR="002B5BE1">
        <w:br/>
      </w:r>
      <w:hyperlink r:id="rId7" w:history="1">
        <w:r w:rsidR="002B5BE1" w:rsidRPr="00F33973">
          <w:rPr>
            <w:rStyle w:val="Hyperlink"/>
            <w:color w:val="353DDD" w:themeColor="accent1" w:themeTint="99"/>
          </w:rPr>
          <w:t>https://bic-boxtech.github.io/BIC-Boxtech-API-documentation/index.html</w:t>
        </w:r>
      </w:hyperlink>
      <w:r w:rsidR="002B5BE1" w:rsidRPr="00F33973">
        <w:rPr>
          <w:color w:val="353DDD" w:themeColor="accent1" w:themeTint="99"/>
        </w:rPr>
        <w:br/>
      </w:r>
      <w:r w:rsidR="002B5BE1">
        <w:t>Since this Webservice serves a very similar purpose, it might be used as a role model for the future SMDG Webservice.</w:t>
      </w:r>
      <w:r w:rsidR="00BE50CC">
        <w:br/>
      </w:r>
      <w:r w:rsidR="00BE50CC" w:rsidRPr="002B5BE1">
        <w:rPr>
          <w:color w:val="FF0000"/>
        </w:rPr>
        <w:t xml:space="preserve"> </w:t>
      </w:r>
      <w:r w:rsidR="00B0581C" w:rsidRPr="002B5BE1">
        <w:rPr>
          <w:color w:val="FF0000"/>
        </w:rPr>
        <w:sym w:font="Wingdings" w:char="F0E8"/>
      </w:r>
      <w:r w:rsidR="00B0581C">
        <w:t xml:space="preserve"> </w:t>
      </w:r>
      <w:r w:rsidR="002B5BE1">
        <w:t>SMDG should</w:t>
      </w:r>
      <w:r w:rsidR="00BE50CC">
        <w:t xml:space="preserve"> reconcile with </w:t>
      </w:r>
      <w:r w:rsidR="00B0581C">
        <w:t xml:space="preserve">the </w:t>
      </w:r>
      <w:r w:rsidR="00BE50CC">
        <w:t xml:space="preserve">BIC regarding their </w:t>
      </w:r>
      <w:r w:rsidR="002B5BE1">
        <w:t xml:space="preserve">existing </w:t>
      </w:r>
      <w:proofErr w:type="gramStart"/>
      <w:r w:rsidR="002B5BE1">
        <w:t>Webservice !</w:t>
      </w:r>
      <w:proofErr w:type="gramEnd"/>
      <w:r w:rsidR="00B0581C">
        <w:br/>
      </w:r>
      <w:r w:rsidR="008F6950" w:rsidRPr="008F6950">
        <w:t xml:space="preserve">As part of this, compliance of input/output data fields with CCL/MMT recommendations should be </w:t>
      </w:r>
      <w:proofErr w:type="gramStart"/>
      <w:r w:rsidR="008F6950" w:rsidRPr="008F6950">
        <w:t>evaluated</w:t>
      </w:r>
      <w:r w:rsidR="008F6950">
        <w:t xml:space="preserve"> </w:t>
      </w:r>
      <w:r w:rsidR="00B0581C">
        <w:t>.</w:t>
      </w:r>
      <w:proofErr w:type="gramEnd"/>
      <w:r w:rsidR="00BE50CC">
        <w:br/>
      </w:r>
      <w:r w:rsidR="00BE50CC">
        <w:br/>
      </w:r>
      <w:r w:rsidR="00B0581C">
        <w:t>2</w:t>
      </w:r>
      <w:r w:rsidR="00B0581C" w:rsidRPr="00B0581C">
        <w:rPr>
          <w:vertAlign w:val="superscript"/>
        </w:rPr>
        <w:t>nd</w:t>
      </w:r>
      <w:r w:rsidR="00B0581C">
        <w:t xml:space="preserve"> </w:t>
      </w:r>
      <w:r w:rsidR="00CA0F39">
        <w:t xml:space="preserve">candidate: </w:t>
      </w:r>
      <w:r w:rsidR="00117036">
        <w:t>“</w:t>
      </w:r>
      <w:r w:rsidR="00117036" w:rsidRPr="00B0581C">
        <w:rPr>
          <w:b/>
        </w:rPr>
        <w:t>Send VGM”</w:t>
      </w:r>
      <w:r w:rsidR="00CA0F39">
        <w:t xml:space="preserve"> </w:t>
      </w:r>
      <w:r w:rsidR="00BE50CC">
        <w:br/>
      </w:r>
      <w:r w:rsidR="00B0581C" w:rsidRPr="002B5BE1">
        <w:rPr>
          <w:color w:val="FF0000"/>
        </w:rPr>
        <w:sym w:font="Wingdings" w:char="F0E8"/>
      </w:r>
      <w:r w:rsidR="00B0581C" w:rsidRPr="002B5BE1">
        <w:rPr>
          <w:color w:val="FF0000"/>
        </w:rPr>
        <w:t xml:space="preserve"> </w:t>
      </w:r>
      <w:r w:rsidR="00BE50CC">
        <w:t>possibly too complex t</w:t>
      </w:r>
      <w:r w:rsidR="00B0581C">
        <w:t xml:space="preserve">o be implemented as a reference because the receiver needs </w:t>
      </w:r>
      <w:r w:rsidR="00736CD4">
        <w:br/>
        <w:t xml:space="preserve">     </w:t>
      </w:r>
      <w:r w:rsidR="00B0581C">
        <w:t xml:space="preserve">to apply multiple checks </w:t>
      </w:r>
      <w:r w:rsidR="002B5BE1">
        <w:t>against</w:t>
      </w:r>
      <w:r w:rsidR="00B0581C">
        <w:t xml:space="preserve"> his booking database.</w:t>
      </w:r>
      <w:r w:rsidR="00736CD4">
        <w:t xml:space="preserve"> Also security issues seen.</w:t>
      </w:r>
      <w:r w:rsidR="00B0581C">
        <w:br/>
      </w:r>
      <w:r w:rsidR="00D40B8A">
        <w:br/>
      </w:r>
      <w:r w:rsidR="00B0581C">
        <w:t>3</w:t>
      </w:r>
      <w:r w:rsidR="00B0581C" w:rsidRPr="00B0581C">
        <w:rPr>
          <w:vertAlign w:val="superscript"/>
        </w:rPr>
        <w:t>rd</w:t>
      </w:r>
      <w:r w:rsidR="00B0581C">
        <w:t xml:space="preserve"> candidate </w:t>
      </w:r>
      <w:r w:rsidR="00F15FBA" w:rsidRPr="00F15FBA">
        <w:rPr>
          <w:i/>
          <w:color w:val="FF0000"/>
        </w:rPr>
        <w:t>new</w:t>
      </w:r>
      <w:r w:rsidR="00B0581C">
        <w:t xml:space="preserve">: </w:t>
      </w:r>
      <w:r w:rsidR="00B0581C" w:rsidRPr="00B0581C">
        <w:rPr>
          <w:b/>
        </w:rPr>
        <w:t>Track and Trace Container</w:t>
      </w:r>
      <w:r w:rsidR="0024792F">
        <w:br/>
      </w:r>
      <w:r w:rsidR="00D4203F" w:rsidRPr="002B5BE1">
        <w:rPr>
          <w:color w:val="FF0000"/>
        </w:rPr>
        <w:sym w:font="Wingdings" w:char="F0E8"/>
      </w:r>
      <w:r w:rsidR="00D4203F" w:rsidRPr="002B5BE1">
        <w:rPr>
          <w:color w:val="FF0000"/>
        </w:rPr>
        <w:t xml:space="preserve"> </w:t>
      </w:r>
      <w:r w:rsidR="00D4203F">
        <w:t>discuss security aspect: can anyone request T&amp;T data for any container? Or is he required to provide also the booking number?</w:t>
      </w:r>
      <w:r w:rsidR="00FC5A82">
        <w:br/>
      </w:r>
    </w:p>
    <w:p w:rsidR="00FC5A82" w:rsidRDefault="00FC5A82">
      <w:r>
        <w:br w:type="page"/>
      </w:r>
    </w:p>
    <w:p w:rsidR="00117036" w:rsidRDefault="008A7892" w:rsidP="00FB2FA0">
      <w:pPr>
        <w:numPr>
          <w:ilvl w:val="0"/>
          <w:numId w:val="1"/>
        </w:numPr>
      </w:pPr>
      <w:r w:rsidRPr="00DC0584">
        <w:lastRenderedPageBreak/>
        <w:t>For each</w:t>
      </w:r>
      <w:r w:rsidR="00451F23">
        <w:t xml:space="preserve"> </w:t>
      </w:r>
      <w:r w:rsidR="00451F23" w:rsidRPr="00DC0584">
        <w:t>Webservice</w:t>
      </w:r>
      <w:r w:rsidRPr="00DC0584">
        <w:t xml:space="preserve"> candidate: Define the </w:t>
      </w:r>
      <w:r w:rsidRPr="00DC0584">
        <w:rPr>
          <w:b/>
          <w:bCs/>
        </w:rPr>
        <w:t>input request and output response</w:t>
      </w:r>
      <w:r w:rsidR="00117036">
        <w:rPr>
          <w:b/>
          <w:bCs/>
        </w:rPr>
        <w:t xml:space="preserve"> </w:t>
      </w:r>
      <w:r w:rsidRPr="00DC0584">
        <w:t>data elements.</w:t>
      </w:r>
      <w:r w:rsidR="00FC5A82">
        <w:t xml:space="preserve">  </w:t>
      </w:r>
      <w:r w:rsidRPr="00856EC6">
        <w:rPr>
          <w:u w:val="single"/>
        </w:rPr>
        <w:t>Decision</w:t>
      </w:r>
      <w:r w:rsidRPr="00DC0584">
        <w:t xml:space="preserve">: Format of description will be </w:t>
      </w:r>
      <w:r w:rsidRPr="00DC0584">
        <w:rPr>
          <w:b/>
          <w:bCs/>
        </w:rPr>
        <w:t xml:space="preserve">OpenAPI 2 </w:t>
      </w:r>
      <w:r w:rsidRPr="001232D5">
        <w:rPr>
          <w:b/>
        </w:rPr>
        <w:t>(SWAGGER)</w:t>
      </w:r>
      <w:r w:rsidR="00117036">
        <w:t>.</w:t>
      </w:r>
      <w:r w:rsidR="00215CBD">
        <w:br/>
      </w:r>
      <w:r w:rsidR="00215CBD">
        <w:br/>
      </w:r>
      <w:r w:rsidR="00215CBD" w:rsidRPr="00F15FBA">
        <w:rPr>
          <w:u w:val="single"/>
        </w:rPr>
        <w:t>Draft</w:t>
      </w:r>
      <w:r w:rsidR="00215CBD">
        <w:t>:</w:t>
      </w:r>
      <w:r w:rsidR="00215CBD">
        <w:br/>
      </w:r>
    </w:p>
    <w:p w:rsidR="00953EE4" w:rsidRDefault="00FB2FA0" w:rsidP="00FB2FA0">
      <w:pPr>
        <w:numPr>
          <w:ilvl w:val="1"/>
          <w:numId w:val="1"/>
        </w:numPr>
      </w:pPr>
      <w:r w:rsidRPr="00DC0584">
        <w:rPr>
          <w:b/>
          <w:bCs/>
        </w:rPr>
        <w:t>Get container master data</w:t>
      </w:r>
      <w:r>
        <w:rPr>
          <w:b/>
          <w:bCs/>
        </w:rPr>
        <w:br/>
        <w:t xml:space="preserve">Input Request: </w:t>
      </w:r>
      <w:r>
        <w:rPr>
          <w:b/>
          <w:bCs/>
        </w:rPr>
        <w:br/>
      </w:r>
      <w:r w:rsidRPr="00FB2FA0">
        <w:rPr>
          <w:bCs/>
        </w:rPr>
        <w:t>- Container number</w:t>
      </w:r>
      <w:r>
        <w:rPr>
          <w:b/>
          <w:bCs/>
        </w:rPr>
        <w:br/>
        <w:t>Output Response:</w:t>
      </w:r>
      <w:r>
        <w:rPr>
          <w:b/>
          <w:bCs/>
        </w:rPr>
        <w:br/>
      </w:r>
      <w:r w:rsidRPr="00FB2FA0">
        <w:rPr>
          <w:bCs/>
        </w:rPr>
        <w:t>- Size Type</w:t>
      </w:r>
      <w:r w:rsidRPr="00FB2FA0">
        <w:rPr>
          <w:bCs/>
        </w:rPr>
        <w:br/>
        <w:t>- Tare Weight</w:t>
      </w:r>
      <w:r w:rsidRPr="00FB2FA0">
        <w:rPr>
          <w:bCs/>
        </w:rPr>
        <w:br/>
        <w:t xml:space="preserve">- </w:t>
      </w:r>
      <w:r>
        <w:t>Max Gross Weight</w:t>
      </w:r>
      <w:r w:rsidR="00215CBD">
        <w:br/>
      </w:r>
    </w:p>
    <w:p w:rsidR="001B0C52" w:rsidRDefault="00215CBD" w:rsidP="00FB2FA0">
      <w:pPr>
        <w:numPr>
          <w:ilvl w:val="1"/>
          <w:numId w:val="1"/>
        </w:numPr>
      </w:pPr>
      <w:r>
        <w:rPr>
          <w:b/>
          <w:bCs/>
        </w:rPr>
        <w:t>Send VGM</w:t>
      </w:r>
      <w:r w:rsidR="00FB2FA0" w:rsidRPr="00FB2FA0">
        <w:br/>
      </w:r>
      <w:r>
        <w:rPr>
          <w:b/>
          <w:bCs/>
        </w:rPr>
        <w:t xml:space="preserve">Input Request: </w:t>
      </w:r>
      <w:r>
        <w:rPr>
          <w:b/>
          <w:bCs/>
        </w:rPr>
        <w:br/>
      </w:r>
      <w:r w:rsidRPr="00FB2FA0">
        <w:rPr>
          <w:bCs/>
        </w:rPr>
        <w:t>- Container number</w:t>
      </w:r>
      <w:r>
        <w:rPr>
          <w:bCs/>
        </w:rPr>
        <w:t xml:space="preserve"> (mandatory)</w:t>
      </w:r>
      <w:r>
        <w:rPr>
          <w:bCs/>
        </w:rPr>
        <w:br/>
        <w:t>- Booking number (optional)</w:t>
      </w:r>
      <w:r>
        <w:rPr>
          <w:bCs/>
        </w:rPr>
        <w:br/>
        <w:t>- B/L number (optional)</w:t>
      </w:r>
      <w:r>
        <w:rPr>
          <w:bCs/>
        </w:rPr>
        <w:br/>
        <w:t>- Date and place of weighing (optional)</w:t>
      </w:r>
      <w:r>
        <w:rPr>
          <w:bCs/>
        </w:rPr>
        <w:br/>
        <w:t>- Responsible Party</w:t>
      </w:r>
      <w:r>
        <w:rPr>
          <w:bCs/>
        </w:rPr>
        <w:br/>
        <w:t>- Name of responsible person with contact details</w:t>
      </w:r>
      <w:r>
        <w:rPr>
          <w:bCs/>
        </w:rPr>
        <w:br/>
        <w:t>- The VGM</w:t>
      </w:r>
      <w:r>
        <w:rPr>
          <w:b/>
          <w:bCs/>
        </w:rPr>
        <w:br/>
        <w:t>Output Response:</w:t>
      </w:r>
      <w:r>
        <w:rPr>
          <w:b/>
          <w:bCs/>
        </w:rPr>
        <w:br/>
      </w:r>
      <w:r w:rsidRPr="00FB2FA0">
        <w:rPr>
          <w:bCs/>
        </w:rPr>
        <w:t xml:space="preserve">- </w:t>
      </w:r>
      <w:r>
        <w:rPr>
          <w:bCs/>
        </w:rPr>
        <w:t>Accept or Reject with reason</w:t>
      </w:r>
      <w:r w:rsidR="001B0C52">
        <w:rPr>
          <w:bCs/>
        </w:rPr>
        <w:br/>
      </w:r>
    </w:p>
    <w:p w:rsidR="001B0C52" w:rsidRDefault="001B0C52"/>
    <w:p w:rsidR="00C63824" w:rsidRPr="00DC0584" w:rsidRDefault="00F15FBA" w:rsidP="00BE50CC">
      <w:pPr>
        <w:numPr>
          <w:ilvl w:val="1"/>
          <w:numId w:val="1"/>
        </w:numPr>
        <w:ind w:left="851"/>
      </w:pPr>
      <w:r w:rsidRPr="00F15FBA">
        <w:rPr>
          <w:i/>
          <w:color w:val="FF0000"/>
        </w:rPr>
        <w:t>new</w:t>
      </w:r>
      <w:r>
        <w:rPr>
          <w:b/>
          <w:bCs/>
        </w:rPr>
        <w:t xml:space="preserve"> </w:t>
      </w:r>
      <w:r w:rsidR="001B0C52">
        <w:rPr>
          <w:b/>
          <w:bCs/>
        </w:rPr>
        <w:t>Track and Trace</w:t>
      </w:r>
      <w:r>
        <w:rPr>
          <w:b/>
          <w:bCs/>
        </w:rPr>
        <w:t xml:space="preserve"> </w:t>
      </w:r>
      <w:r w:rsidR="001B0C52" w:rsidRPr="00FB2FA0">
        <w:br/>
      </w:r>
      <w:r w:rsidR="001B0C52">
        <w:rPr>
          <w:b/>
          <w:bCs/>
        </w:rPr>
        <w:t xml:space="preserve">Input Request: </w:t>
      </w:r>
      <w:r w:rsidR="001B0C52">
        <w:rPr>
          <w:b/>
          <w:bCs/>
        </w:rPr>
        <w:br/>
      </w:r>
      <w:r w:rsidR="001B0C52" w:rsidRPr="00FB2FA0">
        <w:rPr>
          <w:bCs/>
        </w:rPr>
        <w:t>- Container number</w:t>
      </w:r>
      <w:r w:rsidR="001B0C52">
        <w:rPr>
          <w:bCs/>
        </w:rPr>
        <w:t xml:space="preserve"> </w:t>
      </w:r>
      <w:r w:rsidR="001B0C52" w:rsidRPr="001B0C52">
        <w:rPr>
          <w:b/>
          <w:bCs/>
        </w:rPr>
        <w:t xml:space="preserve">OR </w:t>
      </w:r>
      <w:r w:rsidR="001B0C52">
        <w:rPr>
          <w:bCs/>
        </w:rPr>
        <w:br/>
        <w:t xml:space="preserve">- Booking number </w:t>
      </w:r>
      <w:r w:rsidR="001B0C52" w:rsidRPr="001B0C52">
        <w:rPr>
          <w:b/>
          <w:bCs/>
        </w:rPr>
        <w:t>OR</w:t>
      </w:r>
      <w:r w:rsidR="001B0C52">
        <w:rPr>
          <w:bCs/>
        </w:rPr>
        <w:br/>
        <w:t>- B/L number</w:t>
      </w:r>
      <w:r w:rsidR="001B0C52">
        <w:rPr>
          <w:bCs/>
        </w:rPr>
        <w:br/>
      </w:r>
      <w:r w:rsidR="001B0C52">
        <w:rPr>
          <w:b/>
          <w:bCs/>
        </w:rPr>
        <w:br/>
        <w:t>Output Response:</w:t>
      </w:r>
      <w:r w:rsidR="001B0C52">
        <w:rPr>
          <w:b/>
          <w:bCs/>
        </w:rPr>
        <w:br/>
      </w:r>
      <w:r w:rsidR="00BE50CC">
        <w:rPr>
          <w:bCs/>
        </w:rPr>
        <w:t>- Container Number</w:t>
      </w:r>
      <w:r w:rsidR="00BE50CC">
        <w:rPr>
          <w:bCs/>
        </w:rPr>
        <w:br/>
        <w:t>plus FOR EACH CONTAINER:</w:t>
      </w:r>
      <w:r w:rsidR="00BE50CC">
        <w:rPr>
          <w:bCs/>
        </w:rPr>
        <w:br/>
      </w:r>
      <w:r>
        <w:rPr>
          <w:bCs/>
        </w:rPr>
        <w:t xml:space="preserve">     </w:t>
      </w:r>
      <w:r w:rsidR="001B0C52">
        <w:rPr>
          <w:bCs/>
        </w:rPr>
        <w:t>- Type of event (gate-in, gate-out, load, discharge</w:t>
      </w:r>
      <w:r w:rsidR="002A6CC9">
        <w:rPr>
          <w:bCs/>
        </w:rPr>
        <w:t>)</w:t>
      </w:r>
      <w:r w:rsidR="001B0C52">
        <w:rPr>
          <w:bCs/>
        </w:rPr>
        <w:br/>
      </w:r>
      <w:r>
        <w:rPr>
          <w:bCs/>
        </w:rPr>
        <w:t xml:space="preserve">     </w:t>
      </w:r>
      <w:r w:rsidR="001B0C52">
        <w:rPr>
          <w:bCs/>
        </w:rPr>
        <w:t>- Date</w:t>
      </w:r>
      <w:r w:rsidR="00606DE0">
        <w:rPr>
          <w:bCs/>
        </w:rPr>
        <w:t>/T</w:t>
      </w:r>
      <w:r w:rsidR="001B0C52">
        <w:rPr>
          <w:bCs/>
        </w:rPr>
        <w:t>ime of event</w:t>
      </w:r>
      <w:r w:rsidR="001B0C52">
        <w:rPr>
          <w:bCs/>
        </w:rPr>
        <w:br/>
      </w:r>
      <w:r>
        <w:rPr>
          <w:bCs/>
        </w:rPr>
        <w:t xml:space="preserve">     </w:t>
      </w:r>
      <w:r w:rsidR="001B0C52">
        <w:rPr>
          <w:bCs/>
        </w:rPr>
        <w:t xml:space="preserve">- Place of event: </w:t>
      </w:r>
      <w:r w:rsidR="001B0C52">
        <w:rPr>
          <w:bCs/>
        </w:rPr>
        <w:br/>
        <w:t xml:space="preserve">   </w:t>
      </w:r>
      <w:r>
        <w:rPr>
          <w:bCs/>
        </w:rPr>
        <w:t xml:space="preserve">     </w:t>
      </w:r>
      <w:r w:rsidR="001B0C52">
        <w:rPr>
          <w:bCs/>
        </w:rPr>
        <w:t xml:space="preserve">UN/Locode plus Terminal Code (Sea- or </w:t>
      </w:r>
      <w:r>
        <w:rPr>
          <w:bCs/>
        </w:rPr>
        <w:t>I</w:t>
      </w:r>
      <w:r w:rsidR="001B0C52">
        <w:rPr>
          <w:bCs/>
        </w:rPr>
        <w:t xml:space="preserve">nland terminal) </w:t>
      </w:r>
      <w:r w:rsidR="001B0C52" w:rsidRPr="002A6CC9">
        <w:rPr>
          <w:b/>
          <w:bCs/>
        </w:rPr>
        <w:t>OR</w:t>
      </w:r>
      <w:r w:rsidR="00606DE0">
        <w:rPr>
          <w:bCs/>
        </w:rPr>
        <w:t xml:space="preserve">  </w:t>
      </w:r>
      <w:r w:rsidR="00606DE0">
        <w:rPr>
          <w:bCs/>
        </w:rPr>
        <w:br/>
        <w:t xml:space="preserve">        Geo Coordinates (</w:t>
      </w:r>
      <w:proofErr w:type="spellStart"/>
      <w:r w:rsidR="00606DE0">
        <w:rPr>
          <w:bCs/>
        </w:rPr>
        <w:t>Lat+Lon</w:t>
      </w:r>
      <w:proofErr w:type="spellEnd"/>
      <w:r w:rsidR="00606DE0">
        <w:rPr>
          <w:bCs/>
        </w:rPr>
        <w:t>)</w:t>
      </w:r>
      <w:r w:rsidR="002A6CC9">
        <w:rPr>
          <w:bCs/>
        </w:rPr>
        <w:br/>
      </w:r>
      <w:r w:rsidR="00606DE0">
        <w:rPr>
          <w:bCs/>
        </w:rPr>
        <w:t xml:space="preserve">     </w:t>
      </w:r>
      <w:r w:rsidR="002A6CC9">
        <w:rPr>
          <w:bCs/>
        </w:rPr>
        <w:t xml:space="preserve">- Temperature reading inside the container </w:t>
      </w:r>
      <w:r w:rsidR="00215CBD">
        <w:rPr>
          <w:bCs/>
        </w:rPr>
        <w:br/>
      </w:r>
      <w:r w:rsidR="00DC0584">
        <w:br/>
      </w:r>
    </w:p>
    <w:p w:rsidR="00C63824" w:rsidRPr="00DC0584" w:rsidRDefault="008A7892" w:rsidP="00846864">
      <w:pPr>
        <w:numPr>
          <w:ilvl w:val="0"/>
          <w:numId w:val="1"/>
        </w:numPr>
      </w:pPr>
      <w:r w:rsidRPr="00DC0584">
        <w:t xml:space="preserve">Research and coordinate the scheme for </w:t>
      </w:r>
      <w:proofErr w:type="spellStart"/>
      <w:r w:rsidRPr="00982D87">
        <w:rPr>
          <w:b/>
        </w:rPr>
        <w:t>input+output</w:t>
      </w:r>
      <w:proofErr w:type="spellEnd"/>
      <w:r w:rsidRPr="00982D87">
        <w:rPr>
          <w:b/>
        </w:rPr>
        <w:t xml:space="preserve"> data</w:t>
      </w:r>
      <w:r w:rsidRPr="00DC0584">
        <w:t xml:space="preserve"> with </w:t>
      </w:r>
      <w:r w:rsidRPr="00982D87">
        <w:rPr>
          <w:b/>
          <w:bCs/>
        </w:rPr>
        <w:t xml:space="preserve">the CCL / MMT </w:t>
      </w:r>
      <w:r w:rsidRPr="00DC0584">
        <w:t xml:space="preserve">/ </w:t>
      </w:r>
      <w:r w:rsidR="00982D87">
        <w:br/>
      </w:r>
      <w:r w:rsidRPr="00982D87">
        <w:t>o</w:t>
      </w:r>
      <w:r w:rsidR="00982D87" w:rsidRPr="00982D87">
        <w:t>r o</w:t>
      </w:r>
      <w:r w:rsidRPr="00982D87">
        <w:t>thers</w:t>
      </w:r>
      <w:r w:rsidR="008F6950" w:rsidRPr="00982D87">
        <w:rPr>
          <w:b/>
        </w:rPr>
        <w:br/>
      </w:r>
      <w:r w:rsidR="008F6950" w:rsidRPr="00982D87">
        <w:rPr>
          <w:b/>
        </w:rPr>
        <w:br/>
        <w:t xml:space="preserve">CCL </w:t>
      </w:r>
      <w:r w:rsidR="00982D87" w:rsidRPr="00982D87">
        <w:rPr>
          <w:b/>
        </w:rPr>
        <w:t>=</w:t>
      </w:r>
      <w:r w:rsidR="00982D87" w:rsidRPr="00982D87">
        <w:rPr>
          <w:b/>
        </w:rPr>
        <w:tab/>
      </w:r>
      <w:r w:rsidR="00982D87" w:rsidRPr="00982D87">
        <w:t>U</w:t>
      </w:r>
      <w:r w:rsidR="008F6950" w:rsidRPr="00982D87">
        <w:t>N/CEFACT Core Component Library of business data</w:t>
      </w:r>
      <w:r w:rsidR="008F6950" w:rsidRPr="00982D87">
        <w:rPr>
          <w:b/>
        </w:rPr>
        <w:br/>
        <w:t>MMT =</w:t>
      </w:r>
      <w:r w:rsidR="00982D87" w:rsidRPr="00982D87">
        <w:rPr>
          <w:b/>
        </w:rPr>
        <w:tab/>
      </w:r>
      <w:r w:rsidR="008F6950" w:rsidRPr="00982D87">
        <w:t>Multi Modal Transport reference data model is a subset of the CCL</w:t>
      </w:r>
      <w:r w:rsidR="00982D87" w:rsidRPr="00982D87">
        <w:rPr>
          <w:b/>
        </w:rPr>
        <w:br/>
      </w:r>
      <w:r w:rsidR="00982D87" w:rsidRPr="00982D87">
        <w:rPr>
          <w:b/>
        </w:rPr>
        <w:br/>
      </w:r>
      <w:r w:rsidR="00982D87" w:rsidRPr="00982D87">
        <w:t xml:space="preserve">The MMT </w:t>
      </w:r>
      <w:r w:rsidR="00982D87" w:rsidRPr="00982D87">
        <w:t xml:space="preserve">can be downloaded </w:t>
      </w:r>
      <w:r w:rsidR="00982D87" w:rsidRPr="00982D87">
        <w:t>here:</w:t>
      </w:r>
      <w:r w:rsidR="00982D87" w:rsidRPr="00982D87">
        <w:br/>
      </w:r>
      <w:hyperlink r:id="rId8" w:history="1">
        <w:r w:rsidR="00982D87" w:rsidRPr="009249C9">
          <w:rPr>
            <w:rStyle w:val="Hyperlink"/>
            <w:sz w:val="20"/>
          </w:rPr>
          <w:t>https://uncefact.unece.org/display/uncefactpublicre</w:t>
        </w:r>
        <w:r w:rsidR="00982D87" w:rsidRPr="009249C9">
          <w:rPr>
            <w:rStyle w:val="Hyperlink"/>
            <w:sz w:val="20"/>
          </w:rPr>
          <w:t>v</w:t>
        </w:r>
        <w:r w:rsidR="00982D87" w:rsidRPr="009249C9">
          <w:rPr>
            <w:rStyle w:val="Hyperlink"/>
            <w:sz w:val="20"/>
          </w:rPr>
          <w:t>iew/Public+Review%3A+Multi+Modal+Transport+Reference+Data+Mo</w:t>
        </w:r>
        <w:r w:rsidR="00982D87" w:rsidRPr="009249C9">
          <w:rPr>
            <w:rStyle w:val="Hyperlink"/>
            <w:sz w:val="20"/>
          </w:rPr>
          <w:t>d</w:t>
        </w:r>
        <w:r w:rsidR="00982D87" w:rsidRPr="009249C9">
          <w:rPr>
            <w:rStyle w:val="Hyperlink"/>
            <w:sz w:val="20"/>
          </w:rPr>
          <w:t>el</w:t>
        </w:r>
      </w:hyperlink>
      <w:r w:rsidR="00982D87" w:rsidRPr="009249C9">
        <w:rPr>
          <w:sz w:val="20"/>
        </w:rPr>
        <w:t xml:space="preserve"> </w:t>
      </w:r>
      <w:r w:rsidR="008F6950" w:rsidRPr="009249C9">
        <w:rPr>
          <w:sz w:val="20"/>
        </w:rPr>
        <w:br/>
      </w:r>
      <w:r w:rsidRPr="00DC0584">
        <w:br/>
      </w:r>
      <w:r w:rsidR="009249C9">
        <w:lastRenderedPageBreak/>
        <w:t>To e</w:t>
      </w:r>
      <w:r w:rsidRPr="00DC0584">
        <w:t xml:space="preserve">stablish a formal synchronization </w:t>
      </w:r>
      <w:r w:rsidR="00215CBD">
        <w:t xml:space="preserve">procedure </w:t>
      </w:r>
      <w:r w:rsidRPr="00DC0584">
        <w:t>for working wi</w:t>
      </w:r>
      <w:r w:rsidR="00CA0F39">
        <w:t>th the CCL/MMT and with the UN/C</w:t>
      </w:r>
      <w:r w:rsidRPr="00DC0584">
        <w:t xml:space="preserve">EFACT experts in this project. </w:t>
      </w:r>
      <w:r w:rsidR="00DC0584">
        <w:br/>
      </w:r>
      <w:r w:rsidR="002B5BE1" w:rsidRPr="0019491A">
        <w:rPr>
          <w:i/>
          <w:color w:val="FF0000"/>
        </w:rPr>
        <w:sym w:font="Wingdings" w:char="F0E8"/>
      </w:r>
      <w:r w:rsidR="0019491A" w:rsidRPr="00982D87">
        <w:rPr>
          <w:i/>
        </w:rPr>
        <w:t xml:space="preserve"> </w:t>
      </w:r>
      <w:r w:rsidR="002B5BE1" w:rsidRPr="0019491A">
        <w:t>Ray will reach out to Sue and Lance who are the UN/CEFACT experts on this</w:t>
      </w:r>
      <w:r w:rsidR="0019491A">
        <w:br/>
        <w:t xml:space="preserve">Ray will contact Lance and ask for hands-on approach on how to use the CCL/MMT. Ray will provide the </w:t>
      </w:r>
      <w:proofErr w:type="spellStart"/>
      <w:r w:rsidR="0019491A">
        <w:t>Input+Output</w:t>
      </w:r>
      <w:proofErr w:type="spellEnd"/>
      <w:r w:rsidR="0019491A">
        <w:t xml:space="preserve"> data as per above and ask how this actual example can be modelled using the MMT elements and syntax.</w:t>
      </w:r>
      <w:r w:rsidR="0019491A">
        <w:br/>
      </w:r>
      <w:r w:rsidR="0019491A" w:rsidRPr="006C0F56">
        <w:rPr>
          <w:i/>
          <w:color w:val="FF0000"/>
        </w:rPr>
        <w:sym w:font="Wingdings" w:char="F0E8"/>
      </w:r>
      <w:r w:rsidR="0019491A">
        <w:t xml:space="preserve"> Ray will set up a call before the next SMDG meeting</w:t>
      </w:r>
      <w:r w:rsidR="006C0F56">
        <w:t>.</w:t>
      </w:r>
      <w:r w:rsidR="0019491A">
        <w:br/>
      </w:r>
      <w:r w:rsidR="0019491A" w:rsidRPr="006C0F56">
        <w:rPr>
          <w:i/>
          <w:color w:val="FF0000"/>
        </w:rPr>
        <w:sym w:font="Wingdings" w:char="F0E8"/>
      </w:r>
      <w:r w:rsidR="0019491A" w:rsidRPr="00982D87">
        <w:rPr>
          <w:color w:val="FF0000"/>
        </w:rPr>
        <w:t xml:space="preserve"> </w:t>
      </w:r>
      <w:r w:rsidR="0019491A">
        <w:t>schedule a f2f meeting in Geneva during the UN/CEFACT Forum in April 2018</w:t>
      </w:r>
      <w:r w:rsidR="002B5BE1" w:rsidRPr="00DC0584">
        <w:br/>
      </w:r>
      <w:r w:rsidR="00215CBD">
        <w:br/>
      </w:r>
    </w:p>
    <w:p w:rsidR="00DC0584" w:rsidRDefault="008A7892" w:rsidP="00451F23">
      <w:pPr>
        <w:keepLines/>
        <w:numPr>
          <w:ilvl w:val="0"/>
          <w:numId w:val="1"/>
        </w:numPr>
        <w:ind w:left="357" w:hanging="357"/>
      </w:pPr>
      <w:r w:rsidRPr="00DC0584">
        <w:t>Create a ‘</w:t>
      </w:r>
      <w:r w:rsidRPr="00215CBD">
        <w:rPr>
          <w:b/>
        </w:rPr>
        <w:t>sandbox’</w:t>
      </w:r>
      <w:r w:rsidRPr="00DC0584">
        <w:t xml:space="preserve"> for definition of the SMDG </w:t>
      </w:r>
      <w:r w:rsidR="00215CBD">
        <w:t xml:space="preserve">pilot </w:t>
      </w:r>
      <w:proofErr w:type="spellStart"/>
      <w:r w:rsidR="00215CBD" w:rsidRPr="00DC0584">
        <w:t>Webservice</w:t>
      </w:r>
      <w:r w:rsidR="00215CBD">
        <w:t>s</w:t>
      </w:r>
      <w:proofErr w:type="spellEnd"/>
      <w:r w:rsidRPr="00DC0584">
        <w:t xml:space="preserve"> for reference implementation. Restrict access to workgroup members. </w:t>
      </w:r>
      <w:r w:rsidR="00CA0F39">
        <w:br/>
      </w:r>
      <w:r w:rsidRPr="00DC0584">
        <w:t xml:space="preserve">Identify and obtain commitment from reference prototype participants. </w:t>
      </w:r>
      <w:r w:rsidR="00215CBD">
        <w:br/>
      </w:r>
      <w:r w:rsidR="00215CBD">
        <w:br/>
      </w:r>
      <w:r w:rsidR="00341CF0" w:rsidRPr="00341CF0">
        <w:rPr>
          <w:i/>
        </w:rPr>
        <w:sym w:font="Wingdings" w:char="F0E8"/>
      </w:r>
      <w:r w:rsidR="00341CF0">
        <w:rPr>
          <w:i/>
        </w:rPr>
        <w:t xml:space="preserve"> </w:t>
      </w:r>
      <w:r w:rsidRPr="004D79C6">
        <w:rPr>
          <w:i/>
        </w:rPr>
        <w:t xml:space="preserve">Ray </w:t>
      </w:r>
      <w:r w:rsidR="00215CBD" w:rsidRPr="004D79C6">
        <w:rPr>
          <w:i/>
        </w:rPr>
        <w:t xml:space="preserve">offers </w:t>
      </w:r>
      <w:r w:rsidRPr="004D79C6">
        <w:rPr>
          <w:i/>
        </w:rPr>
        <w:t>to facilitate this</w:t>
      </w:r>
      <w:r w:rsidR="00215CBD" w:rsidRPr="004D79C6">
        <w:rPr>
          <w:i/>
        </w:rPr>
        <w:t xml:space="preserve"> within Hyland IT infrastructure</w:t>
      </w:r>
      <w:r w:rsidRPr="004D79C6">
        <w:rPr>
          <w:i/>
        </w:rPr>
        <w:t>, which is appreciated</w:t>
      </w:r>
      <w:r w:rsidR="00451F23">
        <w:rPr>
          <w:i/>
        </w:rPr>
        <w:t>.</w:t>
      </w:r>
      <w:r w:rsidRPr="004D79C6">
        <w:rPr>
          <w:i/>
        </w:rPr>
        <w:t xml:space="preserve"> </w:t>
      </w:r>
      <w:r w:rsidR="00BE50CC">
        <w:rPr>
          <w:i/>
        </w:rPr>
        <w:br/>
        <w:t>It is in progress at Hyland</w:t>
      </w:r>
      <w:r w:rsidR="00215CBD" w:rsidRPr="004D79C6">
        <w:rPr>
          <w:i/>
        </w:rPr>
        <w:br/>
      </w:r>
      <w:r w:rsidR="00DC0584">
        <w:br/>
        <w:t xml:space="preserve"> </w:t>
      </w:r>
    </w:p>
    <w:p w:rsidR="00DC0584" w:rsidRDefault="00DC0584" w:rsidP="00736CD4">
      <w:pPr>
        <w:numPr>
          <w:ilvl w:val="0"/>
          <w:numId w:val="1"/>
        </w:numPr>
      </w:pPr>
      <w:r>
        <w:t xml:space="preserve">Description of </w:t>
      </w:r>
      <w:r w:rsidRPr="004D79C6">
        <w:rPr>
          <w:b/>
        </w:rPr>
        <w:t>basic principles</w:t>
      </w:r>
      <w:r>
        <w:t xml:space="preserve"> for </w:t>
      </w:r>
      <w:r w:rsidR="00180535">
        <w:t xml:space="preserve">SMDG </w:t>
      </w:r>
      <w:r>
        <w:t xml:space="preserve">Webservice usage and </w:t>
      </w:r>
      <w:r w:rsidR="00451F23">
        <w:br/>
      </w:r>
      <w:r>
        <w:t>implementation / design guideline</w:t>
      </w:r>
      <w:r w:rsidR="00CA0F39">
        <w:t>.</w:t>
      </w:r>
      <w:r w:rsidR="004D79C6">
        <w:br/>
      </w:r>
      <w:r w:rsidR="00CA0F39">
        <w:t xml:space="preserve">This includes a recommendation of how to handle </w:t>
      </w:r>
      <w:r w:rsidR="00CA0F39" w:rsidRPr="004D79C6">
        <w:rPr>
          <w:b/>
        </w:rPr>
        <w:t>security and authentication.</w:t>
      </w:r>
      <w:r w:rsidR="00736CD4" w:rsidRPr="00736CD4">
        <w:rPr>
          <w:i/>
        </w:rPr>
        <w:t xml:space="preserve"> </w:t>
      </w:r>
      <w:r w:rsidR="00736CD4">
        <w:rPr>
          <w:i/>
        </w:rPr>
        <w:br/>
      </w:r>
      <w:r w:rsidR="00736CD4" w:rsidRPr="004D79C6">
        <w:rPr>
          <w:i/>
        </w:rPr>
        <w:t>Action: Peter, Daniel and Olaf</w:t>
      </w:r>
      <w:r w:rsidR="00736CD4">
        <w:rPr>
          <w:i/>
        </w:rPr>
        <w:br/>
      </w:r>
      <w:r w:rsidR="00736CD4" w:rsidRPr="00736CD4">
        <w:rPr>
          <w:color w:val="FF0000"/>
        </w:rPr>
        <w:sym w:font="Wingdings" w:char="F0E8"/>
      </w:r>
      <w:r w:rsidR="00736CD4" w:rsidRPr="00736CD4">
        <w:rPr>
          <w:color w:val="FF0000"/>
        </w:rPr>
        <w:t xml:space="preserve"> SMDG shall make recommendations on best practices.</w:t>
      </w:r>
      <w:r w:rsidR="00736CD4">
        <w:br/>
      </w:r>
      <w:r w:rsidR="00341CF0" w:rsidRPr="00736CD4">
        <w:rPr>
          <w:color w:val="FF0000"/>
        </w:rPr>
        <w:sym w:font="Wingdings" w:char="F0E8"/>
      </w:r>
      <w:r w:rsidR="00341CF0" w:rsidRPr="00736CD4">
        <w:rPr>
          <w:color w:val="FF0000"/>
        </w:rPr>
        <w:t xml:space="preserve"> </w:t>
      </w:r>
      <w:proofErr w:type="gramStart"/>
      <w:r w:rsidR="00736CD4" w:rsidRPr="00736CD4">
        <w:t>see</w:t>
      </w:r>
      <w:proofErr w:type="gramEnd"/>
      <w:r w:rsidR="00736CD4" w:rsidRPr="00736CD4">
        <w:t xml:space="preserve"> first draft:  SMDG Guideline Draft_v0.docx from Olaf.</w:t>
      </w:r>
      <w:r w:rsidR="00736CD4">
        <w:br/>
        <w:t xml:space="preserve">     Any comments are invited!</w:t>
      </w:r>
      <w:r w:rsidR="00736CD4" w:rsidRPr="00736CD4">
        <w:br/>
      </w:r>
      <w:r w:rsidR="004D79C6">
        <w:br/>
      </w:r>
      <w:r>
        <w:t xml:space="preserve"> </w:t>
      </w:r>
    </w:p>
    <w:p w:rsidR="00180535" w:rsidRDefault="00DC0584" w:rsidP="00FB2FA0">
      <w:pPr>
        <w:numPr>
          <w:ilvl w:val="0"/>
          <w:numId w:val="1"/>
        </w:numPr>
      </w:pPr>
      <w:r>
        <w:t>For each pilot Webservice</w:t>
      </w:r>
      <w:proofErr w:type="gramStart"/>
      <w:r>
        <w:t>:</w:t>
      </w:r>
      <w:proofErr w:type="gramEnd"/>
      <w:r>
        <w:br/>
      </w:r>
      <w:r w:rsidR="00180535">
        <w:t xml:space="preserve">Create a manual = </w:t>
      </w:r>
      <w:r w:rsidR="00180535">
        <w:br/>
      </w:r>
      <w:r>
        <w:t xml:space="preserve">Description </w:t>
      </w:r>
      <w:r w:rsidR="00856EC6">
        <w:t xml:space="preserve">(free text document) </w:t>
      </w:r>
      <w:r>
        <w:t xml:space="preserve">of </w:t>
      </w:r>
      <w:r w:rsidR="00180535">
        <w:t xml:space="preserve">the </w:t>
      </w:r>
      <w:r>
        <w:t>Business Process covered by th</w:t>
      </w:r>
      <w:r w:rsidR="00180535">
        <w:t>at</w:t>
      </w:r>
      <w:r>
        <w:t xml:space="preserve"> </w:t>
      </w:r>
      <w:r w:rsidR="00856EC6">
        <w:t>Webservice</w:t>
      </w:r>
      <w:r>
        <w:t xml:space="preserve"> and </w:t>
      </w:r>
      <w:r w:rsidR="00856EC6">
        <w:t xml:space="preserve">the </w:t>
      </w:r>
      <w:r>
        <w:t>target audience</w:t>
      </w:r>
      <w:r w:rsidR="0024792F">
        <w:t xml:space="preserve"> Try to include it in the OpenAPI document.</w:t>
      </w:r>
      <w:r w:rsidR="00180535">
        <w:br/>
        <w:t>Descrip</w:t>
      </w:r>
      <w:r w:rsidR="00E357B6">
        <w:t>tion of the input / output data (written in OpenAPI 2)</w:t>
      </w:r>
      <w:r w:rsidR="00451F23">
        <w:t xml:space="preserve">. </w:t>
      </w:r>
      <w:r>
        <w:t xml:space="preserve"> </w:t>
      </w:r>
      <w:r w:rsidR="00E357B6">
        <w:t xml:space="preserve"> </w:t>
      </w:r>
      <w:r>
        <w:br/>
      </w:r>
      <w:r w:rsidR="00180535">
        <w:t xml:space="preserve">Remark: A </w:t>
      </w:r>
      <w:r w:rsidR="0024792F">
        <w:t xml:space="preserve">further </w:t>
      </w:r>
      <w:r>
        <w:t>technical Implementation Guide</w:t>
      </w:r>
      <w:r w:rsidR="00180535">
        <w:t xml:space="preserve"> is not considered necessary.</w:t>
      </w:r>
      <w:r w:rsidR="00856EC6">
        <w:br/>
      </w:r>
      <w:r w:rsidR="00180535">
        <w:br/>
      </w:r>
    </w:p>
    <w:p w:rsidR="00CA0F39" w:rsidRDefault="00180535" w:rsidP="00FB2FA0">
      <w:pPr>
        <w:numPr>
          <w:ilvl w:val="0"/>
          <w:numId w:val="1"/>
        </w:numPr>
      </w:pPr>
      <w:r w:rsidRPr="00CA0F39">
        <w:rPr>
          <w:b/>
        </w:rPr>
        <w:t>Reference implementation</w:t>
      </w:r>
      <w:r>
        <w:t xml:space="preserve"> of the </w:t>
      </w:r>
      <w:r w:rsidR="00E357B6">
        <w:t xml:space="preserve">Webservice. Pilot candidates </w:t>
      </w:r>
      <w:r w:rsidR="00856EC6">
        <w:t xml:space="preserve">shall be </w:t>
      </w:r>
      <w:r w:rsidR="00E357B6">
        <w:t>created in the sandbox</w:t>
      </w:r>
      <w:r w:rsidR="0024792F">
        <w:t>.</w:t>
      </w:r>
      <w:r w:rsidR="00736CD4">
        <w:br/>
      </w:r>
      <w:r w:rsidR="00736CD4" w:rsidRPr="00736CD4">
        <w:rPr>
          <w:color w:val="FF0000"/>
        </w:rPr>
        <w:sym w:font="Wingdings" w:char="F0E8"/>
      </w:r>
      <w:r w:rsidR="00736CD4">
        <w:t xml:space="preserve"> Possible next step: SMDG might become a Service Provider using Webservice for the </w:t>
      </w:r>
      <w:r w:rsidR="00736CD4">
        <w:br/>
        <w:t xml:space="preserve">     maritime industry; SMDG could act as a “Proxy” (proposal from Peter)</w:t>
      </w:r>
      <w:r w:rsidR="00856EC6">
        <w:br/>
      </w:r>
      <w:r w:rsidR="00DC0584">
        <w:br/>
        <w:t xml:space="preserve"> </w:t>
      </w:r>
    </w:p>
    <w:p w:rsidR="002F19CA" w:rsidRDefault="00DC0584" w:rsidP="00FB2FA0">
      <w:pPr>
        <w:numPr>
          <w:ilvl w:val="0"/>
          <w:numId w:val="1"/>
        </w:numPr>
      </w:pPr>
      <w:r w:rsidRPr="00DC0584">
        <w:t xml:space="preserve">Create a </w:t>
      </w:r>
      <w:r w:rsidRPr="00DC0584">
        <w:rPr>
          <w:b/>
        </w:rPr>
        <w:t>marketing document</w:t>
      </w:r>
      <w:r w:rsidRPr="00DC0584">
        <w:t>, describing the intentions of the SMDG Webservice Workgroup and the desired outcome of the initial reference implementation.</w:t>
      </w:r>
      <w:r w:rsidR="009A6256">
        <w:br/>
      </w:r>
      <w:r w:rsidR="00341CF0" w:rsidRPr="00341CF0">
        <w:rPr>
          <w:i/>
        </w:rPr>
        <w:sym w:font="Wingdings" w:char="F0E8"/>
      </w:r>
      <w:r w:rsidR="00341CF0">
        <w:rPr>
          <w:i/>
        </w:rPr>
        <w:t xml:space="preserve"> </w:t>
      </w:r>
      <w:r w:rsidR="009A6256" w:rsidRPr="001232D5">
        <w:rPr>
          <w:i/>
        </w:rPr>
        <w:t>Peter and Ray to start</w:t>
      </w:r>
      <w:r w:rsidR="001232D5">
        <w:br/>
      </w:r>
      <w:r w:rsidR="0024792F">
        <w:br/>
        <w:t xml:space="preserve"> </w:t>
      </w:r>
    </w:p>
    <w:p w:rsidR="0024792F" w:rsidRDefault="0024792F" w:rsidP="00FB2FA0">
      <w:pPr>
        <w:numPr>
          <w:ilvl w:val="0"/>
          <w:numId w:val="1"/>
        </w:numPr>
      </w:pPr>
      <w:bookmarkStart w:id="0" w:name="_GoBack"/>
      <w:r>
        <w:t>Roadmap and timeline</w:t>
      </w:r>
      <w:bookmarkEnd w:id="0"/>
    </w:p>
    <w:sectPr w:rsidR="0024792F" w:rsidSect="00705E29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F7" w:rsidRDefault="007C36F7" w:rsidP="007C36F7">
      <w:r>
        <w:separator/>
      </w:r>
    </w:p>
  </w:endnote>
  <w:endnote w:type="continuationSeparator" w:id="0">
    <w:p w:rsidR="007C36F7" w:rsidRDefault="007C36F7" w:rsidP="007C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F7" w:rsidRDefault="007C36F7" w:rsidP="007C36F7">
    <w:pPr>
      <w:pStyle w:val="Footer"/>
      <w:jc w:val="right"/>
    </w:pPr>
    <w:r>
      <w:rPr>
        <w:lang w:val="de-DE"/>
      </w:rPr>
      <w:fldChar w:fldCharType="begin"/>
    </w:r>
    <w:r>
      <w:rPr>
        <w:lang w:val="de-DE"/>
      </w:rPr>
      <w:instrText xml:space="preserve"> SAVEDATE  \@ "dd.MM.yyyy"  \* MERGEFORMAT </w:instrText>
    </w:r>
    <w:r>
      <w:rPr>
        <w:lang w:val="de-DE"/>
      </w:rPr>
      <w:fldChar w:fldCharType="separate"/>
    </w:r>
    <w:r w:rsidR="008F6950">
      <w:rPr>
        <w:noProof/>
        <w:lang w:val="de-DE"/>
      </w:rPr>
      <w:t>09.03.2018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F7" w:rsidRDefault="007C36F7" w:rsidP="007C36F7">
      <w:r>
        <w:separator/>
      </w:r>
    </w:p>
  </w:footnote>
  <w:footnote w:type="continuationSeparator" w:id="0">
    <w:p w:rsidR="007C36F7" w:rsidRDefault="007C36F7" w:rsidP="007C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0"/>
      <w:gridCol w:w="3969"/>
    </w:tblGrid>
    <w:tr w:rsidR="007C36F7" w:rsidTr="007C36F7">
      <w:tc>
        <w:tcPr>
          <w:tcW w:w="5240" w:type="dxa"/>
        </w:tcPr>
        <w:p w:rsidR="007C36F7" w:rsidRDefault="007C36F7" w:rsidP="007C36F7">
          <w:pPr>
            <w:pStyle w:val="Header"/>
          </w:pPr>
          <w:r>
            <w:t>Webservice</w:t>
          </w:r>
          <w:r>
            <w:br/>
            <w:t>Standardization</w:t>
          </w:r>
          <w:r>
            <w:br/>
            <w:t>Workgroup</w:t>
          </w:r>
        </w:p>
      </w:tc>
      <w:tc>
        <w:tcPr>
          <w:tcW w:w="3969" w:type="dxa"/>
        </w:tcPr>
        <w:p w:rsidR="007C36F7" w:rsidRDefault="007C36F7" w:rsidP="007C36F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DE45129" wp14:editId="1B0A82BD">
                <wp:extent cx="1917700" cy="464820"/>
                <wp:effectExtent l="0" t="0" r="6350" b="0"/>
                <wp:docPr id="18" name="Picture 18" descr="cid:image001.jpg@01D23526.DE84F3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id:image001.jpg@01D23526.DE84F3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7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5CBD" w:rsidRDefault="00215CBD" w:rsidP="007C36F7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F55D1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8F5255">
            <w:fldChar w:fldCharType="begin"/>
          </w:r>
          <w:r w:rsidR="008F5255">
            <w:instrText xml:space="preserve"> NUMPAGES   \* MERGEFORMAT </w:instrText>
          </w:r>
          <w:r w:rsidR="008F5255">
            <w:fldChar w:fldCharType="separate"/>
          </w:r>
          <w:r w:rsidR="001F55D1">
            <w:rPr>
              <w:noProof/>
            </w:rPr>
            <w:t>3</w:t>
          </w:r>
          <w:r w:rsidR="008F5255">
            <w:rPr>
              <w:noProof/>
            </w:rPr>
            <w:fldChar w:fldCharType="end"/>
          </w:r>
        </w:p>
      </w:tc>
    </w:tr>
  </w:tbl>
  <w:p w:rsidR="007C36F7" w:rsidRDefault="007C36F7" w:rsidP="007C36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6169D1"/>
    <w:multiLevelType w:val="hybridMultilevel"/>
    <w:tmpl w:val="23BC3562"/>
    <w:lvl w:ilvl="0" w:tplc="7730CF1C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51588"/>
    <w:multiLevelType w:val="hybridMultilevel"/>
    <w:tmpl w:val="83D28598"/>
    <w:lvl w:ilvl="0" w:tplc="8C18E3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09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CD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504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7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C5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363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69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86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839A9"/>
    <w:multiLevelType w:val="hybridMultilevel"/>
    <w:tmpl w:val="7A9E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46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84"/>
    <w:rsid w:val="000A3BE0"/>
    <w:rsid w:val="00114F01"/>
    <w:rsid w:val="00117036"/>
    <w:rsid w:val="001232D5"/>
    <w:rsid w:val="001313B6"/>
    <w:rsid w:val="00135835"/>
    <w:rsid w:val="00180535"/>
    <w:rsid w:val="001821B8"/>
    <w:rsid w:val="0019491A"/>
    <w:rsid w:val="001B0C52"/>
    <w:rsid w:val="001F3931"/>
    <w:rsid w:val="001F49B3"/>
    <w:rsid w:val="001F55D1"/>
    <w:rsid w:val="00215CBD"/>
    <w:rsid w:val="0024792F"/>
    <w:rsid w:val="002625B6"/>
    <w:rsid w:val="002A6CC9"/>
    <w:rsid w:val="002B5BE1"/>
    <w:rsid w:val="002C007F"/>
    <w:rsid w:val="002D7080"/>
    <w:rsid w:val="002F19CA"/>
    <w:rsid w:val="00341CF0"/>
    <w:rsid w:val="00372297"/>
    <w:rsid w:val="00451F23"/>
    <w:rsid w:val="00461F5D"/>
    <w:rsid w:val="00493353"/>
    <w:rsid w:val="004B0B08"/>
    <w:rsid w:val="004D79C6"/>
    <w:rsid w:val="004E16D1"/>
    <w:rsid w:val="00523048"/>
    <w:rsid w:val="00547234"/>
    <w:rsid w:val="005E4325"/>
    <w:rsid w:val="00606DE0"/>
    <w:rsid w:val="00672C05"/>
    <w:rsid w:val="006C0F56"/>
    <w:rsid w:val="00705E29"/>
    <w:rsid w:val="00736CD4"/>
    <w:rsid w:val="00782974"/>
    <w:rsid w:val="007C36F7"/>
    <w:rsid w:val="00856EC6"/>
    <w:rsid w:val="008A7892"/>
    <w:rsid w:val="008F5255"/>
    <w:rsid w:val="008F6950"/>
    <w:rsid w:val="00904650"/>
    <w:rsid w:val="009249C9"/>
    <w:rsid w:val="00935C03"/>
    <w:rsid w:val="00953EE4"/>
    <w:rsid w:val="0097238F"/>
    <w:rsid w:val="00982D87"/>
    <w:rsid w:val="009A6256"/>
    <w:rsid w:val="00AF7B39"/>
    <w:rsid w:val="00B0581C"/>
    <w:rsid w:val="00B11DE9"/>
    <w:rsid w:val="00B51C68"/>
    <w:rsid w:val="00B64D21"/>
    <w:rsid w:val="00BE50CC"/>
    <w:rsid w:val="00C227AD"/>
    <w:rsid w:val="00C233C6"/>
    <w:rsid w:val="00C63824"/>
    <w:rsid w:val="00CA0F39"/>
    <w:rsid w:val="00CD62AA"/>
    <w:rsid w:val="00D159F7"/>
    <w:rsid w:val="00D40B8A"/>
    <w:rsid w:val="00D4203F"/>
    <w:rsid w:val="00DB6731"/>
    <w:rsid w:val="00DC0584"/>
    <w:rsid w:val="00E12098"/>
    <w:rsid w:val="00E311DD"/>
    <w:rsid w:val="00E357B6"/>
    <w:rsid w:val="00E87A3B"/>
    <w:rsid w:val="00EB6B8F"/>
    <w:rsid w:val="00F15FBA"/>
    <w:rsid w:val="00F3033D"/>
    <w:rsid w:val="00F33973"/>
    <w:rsid w:val="00F67DC1"/>
    <w:rsid w:val="00FB2FA0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47F0F8E-33AD-49DD-9D70-5E27FEAA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F7"/>
  </w:style>
  <w:style w:type="paragraph" w:styleId="Footer">
    <w:name w:val="footer"/>
    <w:basedOn w:val="Normal"/>
    <w:link w:val="FooterChar"/>
    <w:uiPriority w:val="99"/>
    <w:unhideWhenUsed/>
    <w:rsid w:val="007C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F7"/>
  </w:style>
  <w:style w:type="table" w:styleId="TableGrid">
    <w:name w:val="Table Grid"/>
    <w:basedOn w:val="TableNormal"/>
    <w:uiPriority w:val="39"/>
    <w:rsid w:val="007C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CF0"/>
    <w:rPr>
      <w:color w:val="E75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B8A"/>
    <w:rPr>
      <w:color w:val="11156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2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1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efact.unece.org/display/uncefactpublicreview/Public+Review%3A+Multi+Modal+Transport+Reference+Data+Mo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c-boxtech.github.io/BIC-Boxtech-API-documentatio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apag-Lloyd">
      <a:dk1>
        <a:sysClr val="windowText" lastClr="000000"/>
      </a:dk1>
      <a:lt1>
        <a:sysClr val="window" lastClr="FFFFFF"/>
      </a:lt1>
      <a:dk2>
        <a:srgbClr val="414048"/>
      </a:dk2>
      <a:lt2>
        <a:srgbClr val="DBDBDF"/>
      </a:lt2>
      <a:accent1>
        <a:srgbClr val="111565"/>
      </a:accent1>
      <a:accent2>
        <a:srgbClr val="0341D2"/>
      </a:accent2>
      <a:accent3>
        <a:srgbClr val="9F9DA7"/>
      </a:accent3>
      <a:accent4>
        <a:srgbClr val="F79646"/>
      </a:accent4>
      <a:accent5>
        <a:srgbClr val="87B7FD"/>
      </a:accent5>
      <a:accent6>
        <a:srgbClr val="E75200"/>
      </a:accent6>
      <a:hlink>
        <a:srgbClr val="E75200"/>
      </a:hlink>
      <a:folHlink>
        <a:srgbClr val="1115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C5032E40.dotm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Hapag-Lloyd AG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Michael</dc:creator>
  <cp:keywords/>
  <dc:description/>
  <cp:lastModifiedBy>Schroeder, Michael</cp:lastModifiedBy>
  <cp:revision>3</cp:revision>
  <dcterms:created xsi:type="dcterms:W3CDTF">2018-03-26T14:02:00Z</dcterms:created>
  <dcterms:modified xsi:type="dcterms:W3CDTF">2018-03-26T14:55:00Z</dcterms:modified>
</cp:coreProperties>
</file>